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FC6" w:rsidRPr="004D55BB" w:rsidRDefault="00F35FC6" w:rsidP="00A660F8">
      <w:pPr>
        <w:pageBreakBefore/>
        <w:widowControl w:val="0"/>
        <w:autoSpaceDE w:val="0"/>
        <w:autoSpaceDN w:val="0"/>
        <w:adjustRightInd w:val="0"/>
        <w:spacing w:after="0" w:line="400" w:lineRule="atLeast"/>
        <w:rPr>
          <w:rFonts w:asciiTheme="minorHAnsi" w:hAnsiTheme="minorHAnsi" w:cstheme="minorHAnsi"/>
        </w:rPr>
      </w:pPr>
    </w:p>
    <w:p w:rsidR="00F35FC6" w:rsidRPr="004D55BB" w:rsidRDefault="00F35FC6" w:rsidP="00F35FC6">
      <w:pPr>
        <w:widowControl w:val="0"/>
        <w:autoSpaceDE w:val="0"/>
        <w:autoSpaceDN w:val="0"/>
        <w:adjustRightInd w:val="0"/>
        <w:spacing w:after="0" w:line="240" w:lineRule="auto"/>
        <w:jc w:val="center"/>
        <w:rPr>
          <w:rFonts w:asciiTheme="minorHAnsi" w:hAnsiTheme="minorHAnsi" w:cstheme="minorHAnsi"/>
          <w:b/>
          <w:bCs/>
        </w:rPr>
      </w:pPr>
      <w:r w:rsidRPr="004D55BB">
        <w:rPr>
          <w:rFonts w:asciiTheme="minorHAnsi" w:hAnsiTheme="minorHAnsi" w:cstheme="minorHAnsi"/>
          <w:b/>
          <w:bCs/>
        </w:rPr>
        <w:t>CAS CARREDAS</w:t>
      </w:r>
    </w:p>
    <w:p w:rsidR="00F35FC6" w:rsidRPr="004D55BB" w:rsidRDefault="00F35FC6" w:rsidP="00F35FC6">
      <w:pPr>
        <w:widowControl w:val="0"/>
        <w:autoSpaceDE w:val="0"/>
        <w:autoSpaceDN w:val="0"/>
        <w:adjustRightInd w:val="0"/>
        <w:spacing w:after="0" w:line="280" w:lineRule="atLeast"/>
        <w:jc w:val="center"/>
        <w:rPr>
          <w:rFonts w:asciiTheme="minorHAnsi" w:hAnsiTheme="minorHAnsi" w:cstheme="minorHAnsi"/>
        </w:rPr>
      </w:pPr>
    </w:p>
    <w:p w:rsidR="00F35FC6" w:rsidRPr="004D55BB" w:rsidRDefault="00F35FC6" w:rsidP="00F35FC6">
      <w:pPr>
        <w:widowControl w:val="0"/>
        <w:autoSpaceDE w:val="0"/>
        <w:autoSpaceDN w:val="0"/>
        <w:adjustRightInd w:val="0"/>
        <w:spacing w:after="0" w:line="280" w:lineRule="atLeast"/>
        <w:jc w:val="center"/>
        <w:rPr>
          <w:rFonts w:asciiTheme="minorHAnsi" w:hAnsiTheme="minorHAnsi" w:cstheme="minorHAnsi"/>
        </w:rPr>
      </w:pPr>
      <w:r w:rsidRPr="004D55BB">
        <w:rPr>
          <w:rFonts w:asciiTheme="minorHAnsi" w:hAnsiTheme="minorHAnsi" w:cstheme="minorHAnsi"/>
        </w:rPr>
        <w:t xml:space="preserve">Mise en place de l’intégration </w:t>
      </w:r>
      <w:proofErr w:type="spellStart"/>
      <w:r w:rsidRPr="004D55BB">
        <w:rPr>
          <w:rFonts w:asciiTheme="minorHAnsi" w:hAnsiTheme="minorHAnsi" w:cstheme="minorHAnsi"/>
        </w:rPr>
        <w:t>ﬁscale</w:t>
      </w:r>
      <w:proofErr w:type="spellEnd"/>
      <w:r w:rsidRPr="004D55BB">
        <w:rPr>
          <w:rFonts w:asciiTheme="minorHAnsi" w:hAnsiTheme="minorHAnsi" w:cstheme="minorHAnsi"/>
        </w:rPr>
        <w:t>, d’une convention de prestations de service et une convention de trésorerie groupe.</w:t>
      </w:r>
    </w:p>
    <w:p w:rsidR="00F35FC6" w:rsidRPr="004D55BB" w:rsidRDefault="00F35FC6" w:rsidP="00F35FC6">
      <w:pPr>
        <w:widowControl w:val="0"/>
        <w:autoSpaceDE w:val="0"/>
        <w:autoSpaceDN w:val="0"/>
        <w:adjustRightInd w:val="0"/>
        <w:spacing w:after="0" w:line="280" w:lineRule="atLeast"/>
        <w:jc w:val="both"/>
        <w:rPr>
          <w:rFonts w:asciiTheme="minorHAnsi" w:hAnsiTheme="minorHAnsi" w:cstheme="minorHAnsi"/>
          <w:b/>
          <w:bCs/>
        </w:rPr>
      </w:pPr>
    </w:p>
    <w:p w:rsidR="00F35FC6" w:rsidRPr="004D55BB" w:rsidRDefault="00F35FC6" w:rsidP="00F35FC6">
      <w:pPr>
        <w:widowControl w:val="0"/>
        <w:autoSpaceDE w:val="0"/>
        <w:autoSpaceDN w:val="0"/>
        <w:adjustRightInd w:val="0"/>
        <w:spacing w:after="0" w:line="280" w:lineRule="atLeast"/>
        <w:jc w:val="both"/>
        <w:rPr>
          <w:rFonts w:asciiTheme="minorHAnsi" w:hAnsiTheme="minorHAnsi" w:cstheme="minorHAnsi"/>
        </w:rPr>
      </w:pPr>
      <w:r w:rsidRPr="004D55BB">
        <w:rPr>
          <w:rFonts w:asciiTheme="minorHAnsi" w:hAnsiTheme="minorHAnsi" w:cstheme="minorHAnsi"/>
          <w:b/>
          <w:bCs/>
        </w:rPr>
        <w:t xml:space="preserve">Présentation du repreneur </w:t>
      </w:r>
    </w:p>
    <w:p w:rsidR="00F35FC6" w:rsidRPr="004D55BB" w:rsidRDefault="00F35FC6" w:rsidP="00F35FC6">
      <w:pPr>
        <w:widowControl w:val="0"/>
        <w:autoSpaceDE w:val="0"/>
        <w:autoSpaceDN w:val="0"/>
        <w:adjustRightInd w:val="0"/>
        <w:spacing w:after="0" w:line="280" w:lineRule="atLeast"/>
        <w:jc w:val="both"/>
        <w:rPr>
          <w:rFonts w:asciiTheme="minorHAnsi" w:hAnsiTheme="minorHAnsi" w:cstheme="minorHAnsi"/>
        </w:rPr>
      </w:pPr>
    </w:p>
    <w:p w:rsidR="00F35FC6" w:rsidRPr="004D55BB" w:rsidRDefault="00F35FC6" w:rsidP="00F35FC6">
      <w:pPr>
        <w:widowControl w:val="0"/>
        <w:autoSpaceDE w:val="0"/>
        <w:autoSpaceDN w:val="0"/>
        <w:adjustRightInd w:val="0"/>
        <w:spacing w:after="0" w:line="280" w:lineRule="atLeast"/>
        <w:jc w:val="both"/>
        <w:rPr>
          <w:rFonts w:asciiTheme="minorHAnsi" w:hAnsiTheme="minorHAnsi" w:cstheme="minorHAnsi"/>
        </w:rPr>
      </w:pPr>
      <w:r w:rsidRPr="004D55BB">
        <w:rPr>
          <w:rFonts w:asciiTheme="minorHAnsi" w:hAnsiTheme="minorHAnsi" w:cstheme="minorHAnsi"/>
        </w:rPr>
        <w:t xml:space="preserve">45 ans – Marié – 2 enfants. </w:t>
      </w:r>
    </w:p>
    <w:p w:rsidR="00F35FC6" w:rsidRPr="004D55BB" w:rsidRDefault="00F35FC6" w:rsidP="00F35FC6">
      <w:pPr>
        <w:widowControl w:val="0"/>
        <w:autoSpaceDE w:val="0"/>
        <w:autoSpaceDN w:val="0"/>
        <w:adjustRightInd w:val="0"/>
        <w:spacing w:after="0" w:line="280" w:lineRule="atLeast"/>
        <w:jc w:val="both"/>
        <w:rPr>
          <w:rFonts w:asciiTheme="minorHAnsi" w:hAnsiTheme="minorHAnsi" w:cstheme="minorHAnsi"/>
        </w:rPr>
      </w:pPr>
    </w:p>
    <w:p w:rsidR="00F35FC6" w:rsidRPr="004D55BB" w:rsidRDefault="00F35FC6" w:rsidP="00F35FC6">
      <w:pPr>
        <w:widowControl w:val="0"/>
        <w:autoSpaceDE w:val="0"/>
        <w:autoSpaceDN w:val="0"/>
        <w:adjustRightInd w:val="0"/>
        <w:spacing w:after="0" w:line="280" w:lineRule="atLeast"/>
        <w:jc w:val="both"/>
        <w:rPr>
          <w:rFonts w:asciiTheme="minorHAnsi" w:hAnsiTheme="minorHAnsi" w:cstheme="minorHAnsi"/>
        </w:rPr>
      </w:pPr>
      <w:r w:rsidRPr="004D55BB">
        <w:rPr>
          <w:rFonts w:asciiTheme="minorHAnsi" w:hAnsiTheme="minorHAnsi" w:cstheme="minorHAnsi"/>
        </w:rPr>
        <w:t>Dirigeant d’une entreprise de transport d’une cinquant</w:t>
      </w:r>
      <w:bookmarkStart w:id="0" w:name="_GoBack"/>
      <w:bookmarkEnd w:id="0"/>
      <w:r w:rsidRPr="004D55BB">
        <w:rPr>
          <w:rFonts w:asciiTheme="minorHAnsi" w:hAnsiTheme="minorHAnsi" w:cstheme="minorHAnsi"/>
        </w:rPr>
        <w:t xml:space="preserve">aine de collaborateurs située dans la banlieue d’une métropole régionale </w:t>
      </w:r>
    </w:p>
    <w:p w:rsidR="00F35FC6" w:rsidRPr="004D55BB" w:rsidRDefault="00F35FC6" w:rsidP="00F35FC6">
      <w:pPr>
        <w:widowControl w:val="0"/>
        <w:autoSpaceDE w:val="0"/>
        <w:autoSpaceDN w:val="0"/>
        <w:adjustRightInd w:val="0"/>
        <w:spacing w:after="0" w:line="280" w:lineRule="atLeast"/>
        <w:jc w:val="both"/>
        <w:rPr>
          <w:rFonts w:asciiTheme="minorHAnsi" w:hAnsiTheme="minorHAnsi" w:cstheme="minorHAnsi"/>
        </w:rPr>
      </w:pPr>
    </w:p>
    <w:p w:rsidR="00A660F8" w:rsidRPr="004D55BB" w:rsidRDefault="00A660F8" w:rsidP="00F35FC6">
      <w:pPr>
        <w:widowControl w:val="0"/>
        <w:autoSpaceDE w:val="0"/>
        <w:autoSpaceDN w:val="0"/>
        <w:adjustRightInd w:val="0"/>
        <w:spacing w:after="0" w:line="280" w:lineRule="atLeast"/>
        <w:jc w:val="both"/>
        <w:rPr>
          <w:rFonts w:asciiTheme="minorHAnsi" w:hAnsiTheme="minorHAnsi" w:cstheme="minorHAnsi"/>
        </w:rPr>
      </w:pPr>
      <w:r w:rsidRPr="004D55BB">
        <w:rPr>
          <w:rFonts w:asciiTheme="minorHAnsi" w:hAnsiTheme="minorHAnsi" w:cstheme="minorHAnsi"/>
        </w:rPr>
        <w:t xml:space="preserve">Forme de la société : SAS Statut du dirigeant : PDG Situation </w:t>
      </w:r>
      <w:proofErr w:type="spellStart"/>
      <w:r w:rsidRPr="004D55BB">
        <w:rPr>
          <w:rFonts w:asciiTheme="minorHAnsi" w:hAnsiTheme="minorHAnsi" w:cstheme="minorHAnsi"/>
        </w:rPr>
        <w:t>ﬁnancière</w:t>
      </w:r>
      <w:proofErr w:type="spellEnd"/>
      <w:r w:rsidRPr="004D55BB">
        <w:rPr>
          <w:rFonts w:asciiTheme="minorHAnsi" w:hAnsiTheme="minorHAnsi" w:cstheme="minorHAnsi"/>
        </w:rPr>
        <w:t xml:space="preserve"> de l’entreprise : saine Titres de la société détenus directement par le dirigeant. Nom de l’entreprise : société A </w:t>
      </w:r>
    </w:p>
    <w:p w:rsidR="00A660F8" w:rsidRPr="004D55BB" w:rsidRDefault="00A660F8" w:rsidP="00A660F8">
      <w:pPr>
        <w:widowControl w:val="0"/>
        <w:autoSpaceDE w:val="0"/>
        <w:autoSpaceDN w:val="0"/>
        <w:adjustRightInd w:val="0"/>
        <w:spacing w:after="0" w:line="400" w:lineRule="atLeast"/>
        <w:rPr>
          <w:rFonts w:asciiTheme="minorHAnsi" w:hAnsiTheme="minorHAnsi" w:cstheme="minorHAnsi"/>
        </w:rPr>
      </w:pPr>
      <w:r w:rsidRPr="004D55BB">
        <w:rPr>
          <w:rFonts w:asciiTheme="minorHAnsi" w:hAnsiTheme="minorHAnsi" w:cstheme="minorHAnsi"/>
          <w:b/>
          <w:bCs/>
        </w:rPr>
        <w:t xml:space="preserve">Présentation de l’entreprise cible </w:t>
      </w:r>
    </w:p>
    <w:p w:rsidR="00A660F8" w:rsidRPr="004D55BB" w:rsidRDefault="00A660F8" w:rsidP="00A660F8">
      <w:pPr>
        <w:widowControl w:val="0"/>
        <w:autoSpaceDE w:val="0"/>
        <w:autoSpaceDN w:val="0"/>
        <w:adjustRightInd w:val="0"/>
        <w:spacing w:after="0" w:line="400" w:lineRule="atLeast"/>
        <w:rPr>
          <w:rFonts w:asciiTheme="minorHAnsi" w:hAnsiTheme="minorHAnsi" w:cstheme="minorHAnsi"/>
        </w:rPr>
      </w:pPr>
      <w:r w:rsidRPr="004D55BB">
        <w:rPr>
          <w:rFonts w:asciiTheme="minorHAnsi" w:hAnsiTheme="minorHAnsi" w:cstheme="minorHAnsi"/>
        </w:rPr>
        <w:t xml:space="preserve">Activité : Transport et livraison de colis Localisation : 30 kilomètres de l’entreprise du repreneur. Affaire familiale d’une dizaine de salariés créée en 1992 Nom de l’entreprise : société B Principaux chiffres en </w:t>
      </w:r>
      <w:r w:rsidRPr="004D55BB">
        <w:rPr>
          <w:rFonts w:asciiTheme="minorHAnsi" w:hAnsiTheme="minorHAnsi" w:cstheme="minorHAnsi"/>
          <w:b/>
          <w:bCs/>
        </w:rPr>
        <w:t>milliers d’euros</w:t>
      </w:r>
      <w:r w:rsidRPr="004D55BB">
        <w:rPr>
          <w:rFonts w:asciiTheme="minorHAnsi" w:hAnsiTheme="minorHAnsi" w:cstheme="minorHAnsi"/>
        </w:rPr>
        <w:t xml:space="preserve"> : </w:t>
      </w:r>
    </w:p>
    <w:p w:rsidR="00F35FC6" w:rsidRPr="004D55BB" w:rsidRDefault="00F35FC6" w:rsidP="00F35FC6">
      <w:pPr>
        <w:widowControl w:val="0"/>
        <w:autoSpaceDE w:val="0"/>
        <w:autoSpaceDN w:val="0"/>
        <w:adjustRightInd w:val="0"/>
        <w:spacing w:after="0" w:line="400" w:lineRule="atLeast"/>
        <w:jc w:val="center"/>
        <w:rPr>
          <w:rFonts w:asciiTheme="minorHAnsi" w:hAnsiTheme="minorHAnsi" w:cstheme="minorHAnsi"/>
        </w:rPr>
      </w:pPr>
    </w:p>
    <w:p w:rsidR="00A660F8" w:rsidRPr="004D55BB" w:rsidRDefault="00A660F8" w:rsidP="00F35FC6">
      <w:pPr>
        <w:widowControl w:val="0"/>
        <w:autoSpaceDE w:val="0"/>
        <w:autoSpaceDN w:val="0"/>
        <w:adjustRightInd w:val="0"/>
        <w:spacing w:after="0" w:line="240" w:lineRule="auto"/>
        <w:jc w:val="center"/>
        <w:rPr>
          <w:rFonts w:asciiTheme="minorHAnsi" w:hAnsiTheme="minorHAnsi" w:cstheme="minorHAnsi"/>
          <w:b/>
          <w:bCs/>
        </w:rPr>
      </w:pPr>
      <w:r w:rsidRPr="004D55BB">
        <w:rPr>
          <w:rFonts w:asciiTheme="minorHAnsi" w:hAnsiTheme="minorHAnsi" w:cstheme="minorHAnsi"/>
          <w:b/>
          <w:bCs/>
        </w:rPr>
        <w:t>Compte de résultat des 3 derniers exercices</w:t>
      </w:r>
    </w:p>
    <w:p w:rsidR="00F35FC6" w:rsidRPr="004D55BB" w:rsidRDefault="00F35FC6" w:rsidP="00F35FC6">
      <w:pPr>
        <w:widowControl w:val="0"/>
        <w:autoSpaceDE w:val="0"/>
        <w:autoSpaceDN w:val="0"/>
        <w:adjustRightInd w:val="0"/>
        <w:spacing w:after="0" w:line="240" w:lineRule="auto"/>
        <w:jc w:val="center"/>
        <w:rPr>
          <w:rFonts w:asciiTheme="minorHAnsi" w:hAnsiTheme="minorHAnsi" w:cstheme="minorHAnsi"/>
        </w:rPr>
      </w:pPr>
    </w:p>
    <w:p w:rsidR="00A660F8" w:rsidRPr="004D55BB" w:rsidRDefault="00A660F8" w:rsidP="00A660F8">
      <w:pPr>
        <w:widowControl w:val="0"/>
        <w:autoSpaceDE w:val="0"/>
        <w:autoSpaceDN w:val="0"/>
        <w:adjustRightInd w:val="0"/>
        <w:spacing w:after="0" w:line="240" w:lineRule="auto"/>
        <w:jc w:val="center"/>
        <w:rPr>
          <w:rFonts w:asciiTheme="minorHAnsi" w:hAnsiTheme="minorHAnsi" w:cstheme="minorHAnsi"/>
        </w:rPr>
      </w:pPr>
      <w:r w:rsidRPr="004D55BB">
        <w:rPr>
          <w:rFonts w:asciiTheme="minorHAnsi" w:hAnsiTheme="minorHAnsi" w:cstheme="minorHAnsi"/>
          <w:b/>
          <w:bCs/>
        </w:rPr>
        <w:t xml:space="preserve">Bilan de l’année N </w:t>
      </w:r>
    </w:p>
    <w:p w:rsidR="00A660F8" w:rsidRPr="004D55BB" w:rsidRDefault="00A660F8" w:rsidP="00A660F8">
      <w:pPr>
        <w:widowControl w:val="0"/>
        <w:autoSpaceDE w:val="0"/>
        <w:autoSpaceDN w:val="0"/>
        <w:adjustRightInd w:val="0"/>
        <w:spacing w:after="0" w:line="240" w:lineRule="auto"/>
        <w:jc w:val="center"/>
        <w:rPr>
          <w:rFonts w:asciiTheme="minorHAnsi" w:hAnsiTheme="minorHAnsi" w:cstheme="minorHAnsi"/>
        </w:rPr>
      </w:pPr>
    </w:p>
    <w:tbl>
      <w:tblPr>
        <w:tblW w:w="0" w:type="auto"/>
        <w:tblInd w:w="1461" w:type="dxa"/>
        <w:tblLayout w:type="fixed"/>
        <w:tblLook w:val="0000" w:firstRow="0" w:lastRow="0" w:firstColumn="0" w:lastColumn="0" w:noHBand="0" w:noVBand="0"/>
      </w:tblPr>
      <w:tblGrid>
        <w:gridCol w:w="1809"/>
        <w:gridCol w:w="1134"/>
        <w:gridCol w:w="1985"/>
        <w:gridCol w:w="1276"/>
      </w:tblGrid>
      <w:tr w:rsidR="00A660F8" w:rsidRPr="004D55BB" w:rsidTr="00F35FC6">
        <w:trPr>
          <w:trHeight w:val="412"/>
        </w:trPr>
        <w:tc>
          <w:tcPr>
            <w:tcW w:w="1809" w:type="dxa"/>
            <w:tcBorders>
              <w:top w:val="single" w:sz="4" w:space="0" w:color="000000"/>
              <w:left w:val="single" w:sz="4" w:space="0" w:color="000000"/>
              <w:bottom w:val="single" w:sz="4" w:space="0" w:color="000000"/>
              <w:right w:val="single" w:sz="4" w:space="0" w:color="000000"/>
            </w:tcBorders>
            <w:shd w:val="clear" w:color="auto" w:fill="7E7E7E"/>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rPr>
            </w:pPr>
          </w:p>
        </w:tc>
        <w:tc>
          <w:tcPr>
            <w:tcW w:w="1134" w:type="dxa"/>
            <w:tcBorders>
              <w:top w:val="single" w:sz="4" w:space="0" w:color="000000"/>
              <w:left w:val="single" w:sz="4" w:space="0" w:color="000000"/>
              <w:bottom w:val="single" w:sz="4" w:space="0" w:color="000000"/>
              <w:right w:val="single" w:sz="4" w:space="0" w:color="000000"/>
            </w:tcBorders>
            <w:shd w:val="clear" w:color="auto" w:fill="7E7E7E"/>
            <w:vAlign w:val="center"/>
          </w:tcPr>
          <w:p w:rsidR="00A660F8" w:rsidRPr="004D55BB" w:rsidRDefault="00A660F8" w:rsidP="009C1509">
            <w:pPr>
              <w:widowControl w:val="0"/>
              <w:autoSpaceDE w:val="0"/>
              <w:autoSpaceDN w:val="0"/>
              <w:adjustRightInd w:val="0"/>
              <w:spacing w:after="0" w:line="240" w:lineRule="auto"/>
              <w:jc w:val="center"/>
              <w:rPr>
                <w:rFonts w:asciiTheme="minorHAnsi" w:hAnsiTheme="minorHAnsi" w:cstheme="minorHAnsi"/>
                <w:color w:val="221E1F"/>
              </w:rPr>
            </w:pPr>
            <w:r w:rsidRPr="004D55BB">
              <w:rPr>
                <w:rFonts w:asciiTheme="minorHAnsi" w:hAnsiTheme="minorHAnsi" w:cstheme="minorHAnsi"/>
                <w:b/>
                <w:bCs/>
                <w:color w:val="221E1F"/>
              </w:rPr>
              <w:t xml:space="preserve">Actif </w:t>
            </w:r>
          </w:p>
        </w:tc>
        <w:tc>
          <w:tcPr>
            <w:tcW w:w="1985" w:type="dxa"/>
            <w:tcBorders>
              <w:top w:val="single" w:sz="4" w:space="0" w:color="000000"/>
              <w:left w:val="single" w:sz="4" w:space="0" w:color="000000"/>
              <w:bottom w:val="single" w:sz="4" w:space="0" w:color="000000"/>
              <w:right w:val="single" w:sz="4" w:space="0" w:color="000000"/>
            </w:tcBorders>
            <w:shd w:val="clear" w:color="auto" w:fill="7E7E7E"/>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rPr>
            </w:pPr>
          </w:p>
        </w:tc>
        <w:tc>
          <w:tcPr>
            <w:tcW w:w="1276" w:type="dxa"/>
            <w:tcBorders>
              <w:top w:val="single" w:sz="4" w:space="0" w:color="000000"/>
              <w:left w:val="single" w:sz="4" w:space="0" w:color="000000"/>
              <w:bottom w:val="single" w:sz="4" w:space="0" w:color="000000"/>
              <w:right w:val="single" w:sz="4" w:space="0" w:color="000000"/>
            </w:tcBorders>
            <w:shd w:val="clear" w:color="auto" w:fill="7E7E7E"/>
            <w:vAlign w:val="center"/>
          </w:tcPr>
          <w:p w:rsidR="00A660F8" w:rsidRPr="004D55BB" w:rsidRDefault="00A660F8" w:rsidP="009C1509">
            <w:pPr>
              <w:widowControl w:val="0"/>
              <w:autoSpaceDE w:val="0"/>
              <w:autoSpaceDN w:val="0"/>
              <w:adjustRightInd w:val="0"/>
              <w:spacing w:after="0" w:line="240" w:lineRule="auto"/>
              <w:jc w:val="center"/>
              <w:rPr>
                <w:rFonts w:asciiTheme="minorHAnsi" w:hAnsiTheme="minorHAnsi" w:cstheme="minorHAnsi"/>
                <w:color w:val="221E1F"/>
              </w:rPr>
            </w:pPr>
            <w:r w:rsidRPr="004D55BB">
              <w:rPr>
                <w:rFonts w:asciiTheme="minorHAnsi" w:hAnsiTheme="minorHAnsi" w:cstheme="minorHAnsi"/>
                <w:b/>
                <w:bCs/>
                <w:color w:val="221E1F"/>
              </w:rPr>
              <w:t xml:space="preserve">Passif </w:t>
            </w:r>
          </w:p>
        </w:tc>
      </w:tr>
      <w:tr w:rsidR="00A660F8" w:rsidRPr="004D55BB" w:rsidTr="00F35FC6">
        <w:trPr>
          <w:trHeight w:val="320"/>
        </w:trPr>
        <w:tc>
          <w:tcPr>
            <w:tcW w:w="1809"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color w:val="221E1F"/>
              </w:rPr>
            </w:pPr>
            <w:r w:rsidRPr="004D55BB">
              <w:rPr>
                <w:rFonts w:asciiTheme="minorHAnsi" w:hAnsiTheme="minorHAnsi" w:cstheme="minorHAnsi"/>
                <w:color w:val="221E1F"/>
              </w:rPr>
              <w:t xml:space="preserve">Immobilisations </w:t>
            </w:r>
          </w:p>
        </w:tc>
        <w:tc>
          <w:tcPr>
            <w:tcW w:w="1134"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jc w:val="center"/>
              <w:rPr>
                <w:rFonts w:asciiTheme="minorHAnsi" w:hAnsiTheme="minorHAnsi" w:cstheme="minorHAnsi"/>
                <w:color w:val="221E1F"/>
              </w:rPr>
            </w:pPr>
            <w:r w:rsidRPr="004D55BB">
              <w:rPr>
                <w:rFonts w:asciiTheme="minorHAnsi" w:hAnsiTheme="minorHAnsi" w:cstheme="minorHAnsi"/>
                <w:color w:val="221E1F"/>
              </w:rPr>
              <w:t xml:space="preserve">523 </w:t>
            </w:r>
          </w:p>
        </w:tc>
        <w:tc>
          <w:tcPr>
            <w:tcW w:w="1985"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color w:val="221E1F"/>
              </w:rPr>
            </w:pPr>
            <w:r w:rsidRPr="004D55BB">
              <w:rPr>
                <w:rFonts w:asciiTheme="minorHAnsi" w:hAnsiTheme="minorHAnsi" w:cstheme="minorHAnsi"/>
                <w:color w:val="221E1F"/>
              </w:rPr>
              <w:t xml:space="preserve">Fonds propres </w:t>
            </w:r>
          </w:p>
        </w:tc>
        <w:tc>
          <w:tcPr>
            <w:tcW w:w="1276"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jc w:val="center"/>
              <w:rPr>
                <w:rFonts w:asciiTheme="minorHAnsi" w:hAnsiTheme="minorHAnsi" w:cstheme="minorHAnsi"/>
                <w:color w:val="221E1F"/>
              </w:rPr>
            </w:pPr>
            <w:r w:rsidRPr="004D55BB">
              <w:rPr>
                <w:rFonts w:asciiTheme="minorHAnsi" w:hAnsiTheme="minorHAnsi" w:cstheme="minorHAnsi"/>
                <w:color w:val="221E1F"/>
              </w:rPr>
              <w:t xml:space="preserve">256 </w:t>
            </w:r>
          </w:p>
        </w:tc>
      </w:tr>
      <w:tr w:rsidR="00A660F8" w:rsidRPr="004D55BB" w:rsidTr="00F35FC6">
        <w:trPr>
          <w:trHeight w:val="322"/>
        </w:trPr>
        <w:tc>
          <w:tcPr>
            <w:tcW w:w="1809"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color w:val="221E1F"/>
              </w:rPr>
            </w:pPr>
            <w:r w:rsidRPr="004D55BB">
              <w:rPr>
                <w:rFonts w:asciiTheme="minorHAnsi" w:hAnsiTheme="minorHAnsi" w:cstheme="minorHAnsi"/>
                <w:color w:val="221E1F"/>
              </w:rPr>
              <w:t xml:space="preserve">Créances d’exploitation </w:t>
            </w:r>
          </w:p>
        </w:tc>
        <w:tc>
          <w:tcPr>
            <w:tcW w:w="1134" w:type="dxa"/>
            <w:tcBorders>
              <w:top w:val="single" w:sz="4" w:space="0" w:color="000000"/>
              <w:left w:val="single" w:sz="4" w:space="0" w:color="000000"/>
              <w:bottom w:val="single" w:sz="4" w:space="0" w:color="000000"/>
              <w:right w:val="single" w:sz="4" w:space="0" w:color="000000"/>
            </w:tcBorders>
          </w:tcPr>
          <w:p w:rsidR="00A660F8" w:rsidRPr="004D55BB" w:rsidRDefault="00F35FC6" w:rsidP="00F35FC6">
            <w:pPr>
              <w:widowControl w:val="0"/>
              <w:autoSpaceDE w:val="0"/>
              <w:autoSpaceDN w:val="0"/>
              <w:adjustRightInd w:val="0"/>
              <w:spacing w:after="0" w:line="240" w:lineRule="auto"/>
              <w:rPr>
                <w:rFonts w:asciiTheme="minorHAnsi" w:hAnsiTheme="minorHAnsi" w:cstheme="minorHAnsi"/>
                <w:color w:val="221E1F"/>
              </w:rPr>
            </w:pPr>
            <w:r w:rsidRPr="004D55BB">
              <w:rPr>
                <w:rFonts w:asciiTheme="minorHAnsi" w:hAnsiTheme="minorHAnsi" w:cstheme="minorHAnsi"/>
                <w:color w:val="221E1F"/>
              </w:rPr>
              <w:t xml:space="preserve">     </w:t>
            </w:r>
            <w:r w:rsidR="00A660F8" w:rsidRPr="004D55BB">
              <w:rPr>
                <w:rFonts w:asciiTheme="minorHAnsi" w:hAnsiTheme="minorHAnsi" w:cstheme="minorHAnsi"/>
                <w:color w:val="221E1F"/>
              </w:rPr>
              <w:t xml:space="preserve">228 </w:t>
            </w:r>
          </w:p>
        </w:tc>
        <w:tc>
          <w:tcPr>
            <w:tcW w:w="1985"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color w:val="221E1F"/>
              </w:rPr>
            </w:pPr>
            <w:r w:rsidRPr="004D55BB">
              <w:rPr>
                <w:rFonts w:asciiTheme="minorHAnsi" w:hAnsiTheme="minorHAnsi" w:cstheme="minorHAnsi"/>
                <w:color w:val="221E1F"/>
              </w:rPr>
              <w:t xml:space="preserve">Dettes MT bancaires </w:t>
            </w:r>
          </w:p>
        </w:tc>
        <w:tc>
          <w:tcPr>
            <w:tcW w:w="1276"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jc w:val="center"/>
              <w:rPr>
                <w:rFonts w:asciiTheme="minorHAnsi" w:hAnsiTheme="minorHAnsi" w:cstheme="minorHAnsi"/>
                <w:color w:val="221E1F"/>
              </w:rPr>
            </w:pPr>
            <w:r w:rsidRPr="004D55BB">
              <w:rPr>
                <w:rFonts w:asciiTheme="minorHAnsi" w:hAnsiTheme="minorHAnsi" w:cstheme="minorHAnsi"/>
                <w:color w:val="221E1F"/>
              </w:rPr>
              <w:t xml:space="preserve">465 </w:t>
            </w:r>
          </w:p>
        </w:tc>
      </w:tr>
      <w:tr w:rsidR="00A660F8" w:rsidRPr="004D55BB" w:rsidTr="00F35FC6">
        <w:trPr>
          <w:trHeight w:val="320"/>
        </w:trPr>
        <w:tc>
          <w:tcPr>
            <w:tcW w:w="1809"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color w:val="221E1F"/>
              </w:rPr>
            </w:pPr>
            <w:r w:rsidRPr="004D55BB">
              <w:rPr>
                <w:rFonts w:asciiTheme="minorHAnsi" w:hAnsiTheme="minorHAnsi" w:cstheme="minorHAnsi"/>
                <w:color w:val="221E1F"/>
              </w:rPr>
              <w:t xml:space="preserve">Disponibilités </w:t>
            </w:r>
          </w:p>
        </w:tc>
        <w:tc>
          <w:tcPr>
            <w:tcW w:w="1134"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jc w:val="center"/>
              <w:rPr>
                <w:rFonts w:asciiTheme="minorHAnsi" w:hAnsiTheme="minorHAnsi" w:cstheme="minorHAnsi"/>
                <w:color w:val="221E1F"/>
              </w:rPr>
            </w:pPr>
            <w:r w:rsidRPr="004D55BB">
              <w:rPr>
                <w:rFonts w:asciiTheme="minorHAnsi" w:hAnsiTheme="minorHAnsi" w:cstheme="minorHAnsi"/>
                <w:color w:val="221E1F"/>
              </w:rPr>
              <w:t xml:space="preserve">153 </w:t>
            </w:r>
          </w:p>
        </w:tc>
        <w:tc>
          <w:tcPr>
            <w:tcW w:w="1985"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color w:val="221E1F"/>
              </w:rPr>
            </w:pPr>
            <w:r w:rsidRPr="004D55BB">
              <w:rPr>
                <w:rFonts w:asciiTheme="minorHAnsi" w:hAnsiTheme="minorHAnsi" w:cstheme="minorHAnsi"/>
                <w:color w:val="221E1F"/>
              </w:rPr>
              <w:t xml:space="preserve">Dettes d’exploitation </w:t>
            </w:r>
          </w:p>
        </w:tc>
        <w:tc>
          <w:tcPr>
            <w:tcW w:w="1276"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jc w:val="center"/>
              <w:rPr>
                <w:rFonts w:asciiTheme="minorHAnsi" w:hAnsiTheme="minorHAnsi" w:cstheme="minorHAnsi"/>
                <w:color w:val="221E1F"/>
              </w:rPr>
            </w:pPr>
            <w:r w:rsidRPr="004D55BB">
              <w:rPr>
                <w:rFonts w:asciiTheme="minorHAnsi" w:hAnsiTheme="minorHAnsi" w:cstheme="minorHAnsi"/>
                <w:color w:val="221E1F"/>
              </w:rPr>
              <w:t xml:space="preserve">183 </w:t>
            </w:r>
          </w:p>
        </w:tc>
      </w:tr>
      <w:tr w:rsidR="00A660F8" w:rsidRPr="004D55BB" w:rsidTr="00F35FC6">
        <w:trPr>
          <w:trHeight w:val="320"/>
        </w:trPr>
        <w:tc>
          <w:tcPr>
            <w:tcW w:w="1809"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color w:val="221E1F"/>
              </w:rPr>
            </w:pPr>
            <w:r w:rsidRPr="004D55BB">
              <w:rPr>
                <w:rFonts w:asciiTheme="minorHAnsi" w:hAnsiTheme="minorHAnsi" w:cstheme="minorHAnsi"/>
                <w:color w:val="221E1F"/>
              </w:rPr>
              <w:t xml:space="preserve">Total </w:t>
            </w:r>
          </w:p>
        </w:tc>
        <w:tc>
          <w:tcPr>
            <w:tcW w:w="1134"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jc w:val="center"/>
              <w:rPr>
                <w:rFonts w:asciiTheme="minorHAnsi" w:hAnsiTheme="minorHAnsi" w:cstheme="minorHAnsi"/>
                <w:color w:val="221E1F"/>
              </w:rPr>
            </w:pPr>
            <w:r w:rsidRPr="004D55BB">
              <w:rPr>
                <w:rFonts w:asciiTheme="minorHAnsi" w:hAnsiTheme="minorHAnsi" w:cstheme="minorHAnsi"/>
                <w:color w:val="221E1F"/>
              </w:rPr>
              <w:t xml:space="preserve">904 </w:t>
            </w:r>
          </w:p>
        </w:tc>
        <w:tc>
          <w:tcPr>
            <w:tcW w:w="1985"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color w:val="221E1F"/>
              </w:rPr>
            </w:pPr>
            <w:r w:rsidRPr="004D55BB">
              <w:rPr>
                <w:rFonts w:asciiTheme="minorHAnsi" w:hAnsiTheme="minorHAnsi" w:cstheme="minorHAnsi"/>
                <w:color w:val="221E1F"/>
              </w:rPr>
              <w:t xml:space="preserve">Total </w:t>
            </w:r>
          </w:p>
        </w:tc>
        <w:tc>
          <w:tcPr>
            <w:tcW w:w="1276" w:type="dxa"/>
            <w:tcBorders>
              <w:top w:val="single" w:sz="4" w:space="0" w:color="000000"/>
              <w:left w:val="single" w:sz="4" w:space="0" w:color="000000"/>
              <w:bottom w:val="single" w:sz="4" w:space="0" w:color="000000"/>
              <w:right w:val="single" w:sz="4" w:space="0" w:color="000000"/>
            </w:tcBorders>
          </w:tcPr>
          <w:p w:rsidR="00A660F8" w:rsidRPr="004D55BB" w:rsidRDefault="00A660F8" w:rsidP="009C1509">
            <w:pPr>
              <w:widowControl w:val="0"/>
              <w:autoSpaceDE w:val="0"/>
              <w:autoSpaceDN w:val="0"/>
              <w:adjustRightInd w:val="0"/>
              <w:spacing w:after="0" w:line="240" w:lineRule="auto"/>
              <w:jc w:val="center"/>
              <w:rPr>
                <w:rFonts w:asciiTheme="minorHAnsi" w:hAnsiTheme="minorHAnsi" w:cstheme="minorHAnsi"/>
                <w:color w:val="221E1F"/>
              </w:rPr>
            </w:pPr>
            <w:r w:rsidRPr="004D55BB">
              <w:rPr>
                <w:rFonts w:asciiTheme="minorHAnsi" w:hAnsiTheme="minorHAnsi" w:cstheme="minorHAnsi"/>
                <w:color w:val="221E1F"/>
              </w:rPr>
              <w:t xml:space="preserve">904 </w:t>
            </w:r>
          </w:p>
        </w:tc>
      </w:tr>
    </w:tbl>
    <w:p w:rsidR="00A660F8" w:rsidRPr="004D55BB" w:rsidRDefault="00A660F8" w:rsidP="00A660F8">
      <w:pPr>
        <w:widowControl w:val="0"/>
        <w:autoSpaceDE w:val="0"/>
        <w:autoSpaceDN w:val="0"/>
        <w:adjustRightInd w:val="0"/>
        <w:spacing w:after="0" w:line="240" w:lineRule="auto"/>
        <w:rPr>
          <w:rFonts w:asciiTheme="minorHAnsi" w:hAnsiTheme="minorHAnsi" w:cstheme="minorHAnsi"/>
        </w:rPr>
      </w:pPr>
    </w:p>
    <w:p w:rsidR="00F35FC6" w:rsidRPr="004D55BB" w:rsidRDefault="00F35FC6" w:rsidP="00A660F8">
      <w:pPr>
        <w:widowControl w:val="0"/>
        <w:autoSpaceDE w:val="0"/>
        <w:autoSpaceDN w:val="0"/>
        <w:adjustRightInd w:val="0"/>
        <w:spacing w:after="0" w:line="240" w:lineRule="auto"/>
        <w:jc w:val="both"/>
        <w:rPr>
          <w:rFonts w:asciiTheme="minorHAnsi" w:hAnsiTheme="minorHAnsi" w:cstheme="minorHAnsi"/>
          <w:b/>
          <w:bCs/>
        </w:rPr>
      </w:pPr>
    </w:p>
    <w:p w:rsidR="00A660F8" w:rsidRPr="004D55BB" w:rsidRDefault="00A660F8" w:rsidP="00A660F8">
      <w:pPr>
        <w:widowControl w:val="0"/>
        <w:autoSpaceDE w:val="0"/>
        <w:autoSpaceDN w:val="0"/>
        <w:adjustRightInd w:val="0"/>
        <w:spacing w:after="0" w:line="240" w:lineRule="auto"/>
        <w:jc w:val="both"/>
        <w:rPr>
          <w:rFonts w:asciiTheme="minorHAnsi" w:hAnsiTheme="minorHAnsi" w:cstheme="minorHAnsi"/>
        </w:rPr>
      </w:pPr>
      <w:r w:rsidRPr="004D55BB">
        <w:rPr>
          <w:rFonts w:asciiTheme="minorHAnsi" w:hAnsiTheme="minorHAnsi" w:cstheme="minorHAnsi"/>
          <w:b/>
          <w:bCs/>
        </w:rPr>
        <w:t xml:space="preserve">Présentation du cédant </w:t>
      </w:r>
    </w:p>
    <w:p w:rsidR="00F35FC6" w:rsidRPr="004D55BB" w:rsidRDefault="00F35FC6" w:rsidP="00A660F8">
      <w:pPr>
        <w:widowControl w:val="0"/>
        <w:autoSpaceDE w:val="0"/>
        <w:autoSpaceDN w:val="0"/>
        <w:adjustRightInd w:val="0"/>
        <w:spacing w:after="0" w:line="240" w:lineRule="auto"/>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40" w:lineRule="auto"/>
        <w:jc w:val="both"/>
        <w:rPr>
          <w:rFonts w:asciiTheme="minorHAnsi" w:hAnsiTheme="minorHAnsi" w:cstheme="minorHAnsi"/>
        </w:rPr>
      </w:pPr>
      <w:r w:rsidRPr="004D55BB">
        <w:rPr>
          <w:rFonts w:asciiTheme="minorHAnsi" w:hAnsiTheme="minorHAnsi" w:cstheme="minorHAnsi"/>
        </w:rPr>
        <w:t xml:space="preserve">51 ans – divorcé.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rPr>
      </w:pPr>
    </w:p>
    <w:p w:rsidR="00F35FC6" w:rsidRPr="004D55BB" w:rsidRDefault="00A660F8" w:rsidP="00F35FC6">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t xml:space="preserve">Possède diverses affaires dans le domaine du transport et souhaite se recentrer sur le plan géographique. </w:t>
      </w:r>
    </w:p>
    <w:p w:rsidR="00F35FC6" w:rsidRPr="004D55BB" w:rsidRDefault="00F35FC6" w:rsidP="00F35FC6">
      <w:pPr>
        <w:widowControl w:val="0"/>
        <w:autoSpaceDE w:val="0"/>
        <w:autoSpaceDN w:val="0"/>
        <w:adjustRightInd w:val="0"/>
        <w:spacing w:after="0" w:line="276" w:lineRule="atLeast"/>
        <w:jc w:val="both"/>
        <w:rPr>
          <w:rFonts w:asciiTheme="minorHAnsi" w:hAnsiTheme="minorHAnsi" w:cstheme="minorHAnsi"/>
        </w:rPr>
      </w:pPr>
    </w:p>
    <w:p w:rsidR="00A660F8" w:rsidRPr="004D55BB" w:rsidRDefault="00A660F8" w:rsidP="00F35FC6">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b/>
          <w:bCs/>
        </w:rPr>
        <w:t xml:space="preserve">Origine du dossier </w:t>
      </w:r>
    </w:p>
    <w:p w:rsidR="00F35FC6" w:rsidRPr="004D55BB" w:rsidRDefault="00F35FC6" w:rsidP="00A660F8">
      <w:pPr>
        <w:widowControl w:val="0"/>
        <w:autoSpaceDE w:val="0"/>
        <w:autoSpaceDN w:val="0"/>
        <w:adjustRightInd w:val="0"/>
        <w:spacing w:after="0" w:line="240" w:lineRule="auto"/>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40" w:lineRule="auto"/>
        <w:jc w:val="both"/>
        <w:rPr>
          <w:rFonts w:asciiTheme="minorHAnsi" w:hAnsiTheme="minorHAnsi" w:cstheme="minorHAnsi"/>
        </w:rPr>
      </w:pPr>
      <w:r w:rsidRPr="004D55BB">
        <w:rPr>
          <w:rFonts w:asciiTheme="minorHAnsi" w:hAnsiTheme="minorHAnsi" w:cstheme="minorHAnsi"/>
        </w:rPr>
        <w:t xml:space="preserve">Chambre de commerce et d’industrie. </w:t>
      </w:r>
    </w:p>
    <w:p w:rsidR="00F35FC6" w:rsidRPr="004D55BB" w:rsidRDefault="00F35FC6" w:rsidP="00A660F8">
      <w:pPr>
        <w:widowControl w:val="0"/>
        <w:autoSpaceDE w:val="0"/>
        <w:autoSpaceDN w:val="0"/>
        <w:adjustRightInd w:val="0"/>
        <w:spacing w:after="0" w:line="240" w:lineRule="auto"/>
        <w:jc w:val="both"/>
        <w:rPr>
          <w:rFonts w:asciiTheme="minorHAnsi" w:hAnsiTheme="minorHAnsi" w:cstheme="minorHAnsi"/>
          <w:b/>
          <w:bCs/>
        </w:rPr>
      </w:pPr>
    </w:p>
    <w:p w:rsidR="00A660F8" w:rsidRPr="004D55BB" w:rsidRDefault="00A660F8" w:rsidP="00A660F8">
      <w:pPr>
        <w:widowControl w:val="0"/>
        <w:autoSpaceDE w:val="0"/>
        <w:autoSpaceDN w:val="0"/>
        <w:adjustRightInd w:val="0"/>
        <w:spacing w:after="0" w:line="240" w:lineRule="auto"/>
        <w:jc w:val="both"/>
        <w:rPr>
          <w:rFonts w:asciiTheme="minorHAnsi" w:hAnsiTheme="minorHAnsi" w:cstheme="minorHAnsi"/>
        </w:rPr>
      </w:pPr>
      <w:r w:rsidRPr="004D55BB">
        <w:rPr>
          <w:rFonts w:asciiTheme="minorHAnsi" w:hAnsiTheme="minorHAnsi" w:cstheme="minorHAnsi"/>
          <w:b/>
          <w:bCs/>
        </w:rPr>
        <w:t xml:space="preserve">Prix de cession </w:t>
      </w:r>
    </w:p>
    <w:p w:rsidR="00F35FC6" w:rsidRPr="004D55BB" w:rsidRDefault="00F35FC6" w:rsidP="00A660F8">
      <w:pPr>
        <w:widowControl w:val="0"/>
        <w:autoSpaceDE w:val="0"/>
        <w:autoSpaceDN w:val="0"/>
        <w:adjustRightInd w:val="0"/>
        <w:spacing w:after="0" w:line="240" w:lineRule="auto"/>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40" w:lineRule="auto"/>
        <w:jc w:val="both"/>
        <w:rPr>
          <w:rFonts w:asciiTheme="minorHAnsi" w:hAnsiTheme="minorHAnsi" w:cstheme="minorHAnsi"/>
        </w:rPr>
      </w:pPr>
      <w:r w:rsidRPr="004D55BB">
        <w:rPr>
          <w:rFonts w:asciiTheme="minorHAnsi" w:hAnsiTheme="minorHAnsi" w:cstheme="minorHAnsi"/>
        </w:rPr>
        <w:t xml:space="preserve">100 % des titres de la société d’exploitation : 400 000 euros </w:t>
      </w:r>
    </w:p>
    <w:p w:rsidR="00F35FC6" w:rsidRPr="004D55BB" w:rsidRDefault="00F35FC6" w:rsidP="00A660F8">
      <w:pPr>
        <w:widowControl w:val="0"/>
        <w:autoSpaceDE w:val="0"/>
        <w:autoSpaceDN w:val="0"/>
        <w:adjustRightInd w:val="0"/>
        <w:spacing w:after="0" w:line="400" w:lineRule="atLeast"/>
        <w:rPr>
          <w:rFonts w:asciiTheme="minorHAnsi" w:hAnsiTheme="minorHAnsi" w:cstheme="minorHAnsi"/>
          <w:b/>
          <w:bCs/>
        </w:rPr>
      </w:pPr>
    </w:p>
    <w:p w:rsidR="00F35FC6" w:rsidRPr="004D55BB" w:rsidRDefault="00A660F8" w:rsidP="00A660F8">
      <w:pPr>
        <w:widowControl w:val="0"/>
        <w:autoSpaceDE w:val="0"/>
        <w:autoSpaceDN w:val="0"/>
        <w:adjustRightInd w:val="0"/>
        <w:spacing w:after="0" w:line="400" w:lineRule="atLeast"/>
        <w:rPr>
          <w:rFonts w:asciiTheme="minorHAnsi" w:hAnsiTheme="minorHAnsi" w:cstheme="minorHAnsi"/>
        </w:rPr>
      </w:pPr>
      <w:r w:rsidRPr="004D55BB">
        <w:rPr>
          <w:rFonts w:asciiTheme="minorHAnsi" w:hAnsiTheme="minorHAnsi" w:cstheme="minorHAnsi"/>
          <w:b/>
          <w:bCs/>
        </w:rPr>
        <w:t xml:space="preserve">Montage juridique et </w:t>
      </w:r>
      <w:proofErr w:type="spellStart"/>
      <w:r w:rsidRPr="004D55BB">
        <w:rPr>
          <w:rFonts w:asciiTheme="minorHAnsi" w:hAnsiTheme="minorHAnsi" w:cstheme="minorHAnsi"/>
          <w:b/>
          <w:bCs/>
        </w:rPr>
        <w:t>ﬁnancier</w:t>
      </w:r>
      <w:proofErr w:type="spellEnd"/>
      <w:r w:rsidRPr="004D55BB">
        <w:rPr>
          <w:rFonts w:asciiTheme="minorHAnsi" w:hAnsiTheme="minorHAnsi" w:cstheme="minorHAnsi"/>
          <w:b/>
          <w:bCs/>
        </w:rPr>
        <w:t xml:space="preserve"> Première étape :</w:t>
      </w:r>
      <w:r w:rsidRPr="004D55BB">
        <w:rPr>
          <w:rFonts w:asciiTheme="minorHAnsi" w:hAnsiTheme="minorHAnsi" w:cstheme="minorHAnsi"/>
        </w:rPr>
        <w:t xml:space="preserve">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t xml:space="preserve">Création d’une société holding sous forme de SARL par apport des titres de la société existante (A).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proofErr w:type="spellStart"/>
      <w:r w:rsidRPr="004D55BB">
        <w:rPr>
          <w:rFonts w:asciiTheme="minorHAnsi" w:hAnsiTheme="minorHAnsi" w:cstheme="minorHAnsi"/>
        </w:rPr>
        <w:t>Certiﬁcation</w:t>
      </w:r>
      <w:proofErr w:type="spellEnd"/>
      <w:r w:rsidRPr="004D55BB">
        <w:rPr>
          <w:rFonts w:asciiTheme="minorHAnsi" w:hAnsiTheme="minorHAnsi" w:cstheme="minorHAnsi"/>
        </w:rPr>
        <w:t xml:space="preserve"> de la valeur d’apport, soit 1 100 000 euros par un commissaire aux apports.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proofErr w:type="spellStart"/>
      <w:r w:rsidRPr="004D55BB">
        <w:rPr>
          <w:rFonts w:asciiTheme="minorHAnsi" w:hAnsiTheme="minorHAnsi" w:cstheme="minorHAnsi"/>
        </w:rPr>
        <w:t>Plus value</w:t>
      </w:r>
      <w:proofErr w:type="spellEnd"/>
      <w:r w:rsidRPr="004D55BB">
        <w:rPr>
          <w:rFonts w:asciiTheme="minorHAnsi" w:hAnsiTheme="minorHAnsi" w:cstheme="minorHAnsi"/>
        </w:rPr>
        <w:t xml:space="preserve"> dégagée sur l’apport en report d’imposition jusqu’à la cession des titres du holding.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t xml:space="preserve">Outre la matérialisation d’un capital important dans la holding, ce montage permet au dirigeant de passer d’un statut de PDG, coûteux sur le plan des charges sociales (70 % du salaire net) à un statut de gérant majoritaire plus économe (35 à 40 % de charges sociales calculées sur la rémunération nette).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b/>
          <w:bCs/>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b/>
          <w:bCs/>
        </w:rPr>
        <w:t>Deuxième étape :</w:t>
      </w:r>
      <w:r w:rsidRPr="004D55BB">
        <w:rPr>
          <w:rFonts w:asciiTheme="minorHAnsi" w:hAnsiTheme="minorHAnsi" w:cstheme="minorHAnsi"/>
        </w:rPr>
        <w:t xml:space="preserve"> Reprise de la société cible par la holding. </w:t>
      </w: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p>
    <w:tbl>
      <w:tblPr>
        <w:tblW w:w="0" w:type="auto"/>
        <w:tblLayout w:type="fixed"/>
        <w:tblLook w:val="0000" w:firstRow="0" w:lastRow="0" w:firstColumn="0" w:lastColumn="0" w:noHBand="0" w:noVBand="0"/>
      </w:tblPr>
      <w:tblGrid>
        <w:gridCol w:w="6186"/>
        <w:gridCol w:w="1618"/>
      </w:tblGrid>
      <w:tr w:rsidR="00A660F8" w:rsidRPr="004D55BB" w:rsidTr="00F35FC6">
        <w:trPr>
          <w:trHeight w:val="322"/>
        </w:trPr>
        <w:tc>
          <w:tcPr>
            <w:tcW w:w="7804" w:type="dxa"/>
            <w:gridSpan w:val="2"/>
            <w:tcBorders>
              <w:top w:val="nil"/>
              <w:left w:val="nil"/>
              <w:bottom w:val="nil"/>
              <w:right w:val="nil"/>
            </w:tcBorders>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color w:val="221E1F"/>
              </w:rPr>
            </w:pPr>
            <w:r w:rsidRPr="004D55BB">
              <w:rPr>
                <w:rFonts w:asciiTheme="minorHAnsi" w:hAnsiTheme="minorHAnsi" w:cstheme="minorHAnsi"/>
                <w:color w:val="221E1F"/>
              </w:rPr>
              <w:t>F</w:t>
            </w:r>
            <w:r w:rsidR="00F35FC6" w:rsidRPr="004D55BB">
              <w:rPr>
                <w:rFonts w:asciiTheme="minorHAnsi" w:hAnsiTheme="minorHAnsi" w:cstheme="minorHAnsi"/>
                <w:color w:val="221E1F"/>
              </w:rPr>
              <w:t xml:space="preserve">inancement de l’opération comme </w:t>
            </w:r>
            <w:r w:rsidRPr="004D55BB">
              <w:rPr>
                <w:rFonts w:asciiTheme="minorHAnsi" w:hAnsiTheme="minorHAnsi" w:cstheme="minorHAnsi"/>
                <w:color w:val="221E1F"/>
              </w:rPr>
              <w:t xml:space="preserve">suit : </w:t>
            </w:r>
          </w:p>
        </w:tc>
      </w:tr>
      <w:tr w:rsidR="00A660F8" w:rsidRPr="004D55BB" w:rsidTr="00F35FC6">
        <w:trPr>
          <w:trHeight w:val="402"/>
        </w:trPr>
        <w:tc>
          <w:tcPr>
            <w:tcW w:w="6186" w:type="dxa"/>
            <w:tcBorders>
              <w:top w:val="nil"/>
              <w:left w:val="nil"/>
              <w:bottom w:val="nil"/>
              <w:right w:val="nil"/>
            </w:tcBorders>
            <w:vAlign w:val="center"/>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color w:val="221E1F"/>
              </w:rPr>
            </w:pPr>
            <w:r w:rsidRPr="004D55BB">
              <w:rPr>
                <w:rFonts w:asciiTheme="minorHAnsi" w:hAnsiTheme="minorHAnsi" w:cstheme="minorHAnsi"/>
                <w:color w:val="221E1F"/>
              </w:rPr>
              <w:t xml:space="preserve">Prêt en compte courant de la société A de </w:t>
            </w:r>
          </w:p>
        </w:tc>
        <w:tc>
          <w:tcPr>
            <w:tcW w:w="1618" w:type="dxa"/>
            <w:tcBorders>
              <w:top w:val="nil"/>
              <w:left w:val="nil"/>
              <w:bottom w:val="nil"/>
              <w:right w:val="nil"/>
            </w:tcBorders>
            <w:vAlign w:val="center"/>
          </w:tcPr>
          <w:p w:rsidR="00A660F8" w:rsidRPr="004D55BB" w:rsidRDefault="00A660F8" w:rsidP="009C1509">
            <w:pPr>
              <w:widowControl w:val="0"/>
              <w:autoSpaceDE w:val="0"/>
              <w:autoSpaceDN w:val="0"/>
              <w:adjustRightInd w:val="0"/>
              <w:spacing w:after="0" w:line="240" w:lineRule="auto"/>
              <w:jc w:val="right"/>
              <w:rPr>
                <w:rFonts w:asciiTheme="minorHAnsi" w:hAnsiTheme="minorHAnsi" w:cstheme="minorHAnsi"/>
                <w:color w:val="221E1F"/>
              </w:rPr>
            </w:pPr>
            <w:r w:rsidRPr="004D55BB">
              <w:rPr>
                <w:rFonts w:asciiTheme="minorHAnsi" w:hAnsiTheme="minorHAnsi" w:cstheme="minorHAnsi"/>
                <w:color w:val="221E1F"/>
              </w:rPr>
              <w:t xml:space="preserve">10 000 € </w:t>
            </w:r>
          </w:p>
        </w:tc>
      </w:tr>
      <w:tr w:rsidR="00A660F8" w:rsidRPr="004D55BB" w:rsidTr="00F35FC6">
        <w:trPr>
          <w:trHeight w:val="371"/>
        </w:trPr>
        <w:tc>
          <w:tcPr>
            <w:tcW w:w="6186" w:type="dxa"/>
            <w:tcBorders>
              <w:top w:val="nil"/>
              <w:left w:val="nil"/>
              <w:bottom w:val="nil"/>
              <w:right w:val="nil"/>
            </w:tcBorders>
            <w:vAlign w:val="center"/>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color w:val="221E1F"/>
              </w:rPr>
            </w:pPr>
            <w:r w:rsidRPr="004D55BB">
              <w:rPr>
                <w:rFonts w:asciiTheme="minorHAnsi" w:hAnsiTheme="minorHAnsi" w:cstheme="minorHAnsi"/>
                <w:color w:val="221E1F"/>
              </w:rPr>
              <w:t xml:space="preserve">Distribution de dividende exceptionnelle de la </w:t>
            </w:r>
            <w:proofErr w:type="spellStart"/>
            <w:r w:rsidRPr="004D55BB">
              <w:rPr>
                <w:rFonts w:asciiTheme="minorHAnsi" w:hAnsiTheme="minorHAnsi" w:cstheme="minorHAnsi"/>
                <w:color w:val="221E1F"/>
              </w:rPr>
              <w:t>sté</w:t>
            </w:r>
            <w:proofErr w:type="spellEnd"/>
            <w:r w:rsidRPr="004D55BB">
              <w:rPr>
                <w:rFonts w:asciiTheme="minorHAnsi" w:hAnsiTheme="minorHAnsi" w:cstheme="minorHAnsi"/>
                <w:color w:val="221E1F"/>
              </w:rPr>
              <w:t xml:space="preserve"> B </w:t>
            </w:r>
          </w:p>
        </w:tc>
        <w:tc>
          <w:tcPr>
            <w:tcW w:w="1618" w:type="dxa"/>
            <w:tcBorders>
              <w:top w:val="nil"/>
              <w:left w:val="nil"/>
              <w:bottom w:val="nil"/>
              <w:right w:val="nil"/>
            </w:tcBorders>
            <w:vAlign w:val="center"/>
          </w:tcPr>
          <w:p w:rsidR="00A660F8" w:rsidRPr="004D55BB" w:rsidRDefault="00A660F8" w:rsidP="009C1509">
            <w:pPr>
              <w:widowControl w:val="0"/>
              <w:autoSpaceDE w:val="0"/>
              <w:autoSpaceDN w:val="0"/>
              <w:adjustRightInd w:val="0"/>
              <w:spacing w:after="0" w:line="240" w:lineRule="auto"/>
              <w:jc w:val="right"/>
              <w:rPr>
                <w:rFonts w:asciiTheme="minorHAnsi" w:hAnsiTheme="minorHAnsi" w:cstheme="minorHAnsi"/>
                <w:color w:val="221E1F"/>
              </w:rPr>
            </w:pPr>
            <w:r w:rsidRPr="004D55BB">
              <w:rPr>
                <w:rFonts w:asciiTheme="minorHAnsi" w:hAnsiTheme="minorHAnsi" w:cstheme="minorHAnsi"/>
                <w:color w:val="221E1F"/>
              </w:rPr>
              <w:t xml:space="preserve">50 000 € </w:t>
            </w:r>
          </w:p>
        </w:tc>
      </w:tr>
      <w:tr w:rsidR="00A660F8" w:rsidRPr="004D55BB" w:rsidTr="00F35FC6">
        <w:trPr>
          <w:trHeight w:val="283"/>
        </w:trPr>
        <w:tc>
          <w:tcPr>
            <w:tcW w:w="6186" w:type="dxa"/>
            <w:tcBorders>
              <w:top w:val="nil"/>
              <w:left w:val="nil"/>
              <w:bottom w:val="nil"/>
              <w:right w:val="nil"/>
            </w:tcBorders>
            <w:vAlign w:val="center"/>
          </w:tcPr>
          <w:p w:rsidR="00A660F8" w:rsidRPr="004D55BB" w:rsidRDefault="00A660F8" w:rsidP="009C1509">
            <w:pPr>
              <w:widowControl w:val="0"/>
              <w:autoSpaceDE w:val="0"/>
              <w:autoSpaceDN w:val="0"/>
              <w:adjustRightInd w:val="0"/>
              <w:spacing w:after="0" w:line="240" w:lineRule="auto"/>
              <w:rPr>
                <w:rFonts w:asciiTheme="minorHAnsi" w:hAnsiTheme="minorHAnsi" w:cstheme="minorHAnsi"/>
                <w:color w:val="221E1F"/>
              </w:rPr>
            </w:pPr>
            <w:r w:rsidRPr="004D55BB">
              <w:rPr>
                <w:rFonts w:asciiTheme="minorHAnsi" w:hAnsiTheme="minorHAnsi" w:cstheme="minorHAnsi"/>
                <w:color w:val="221E1F"/>
              </w:rPr>
              <w:t xml:space="preserve">Emprunt moyen terme (2 banques) sur 7 ans </w:t>
            </w:r>
          </w:p>
        </w:tc>
        <w:tc>
          <w:tcPr>
            <w:tcW w:w="1618" w:type="dxa"/>
            <w:tcBorders>
              <w:top w:val="nil"/>
              <w:left w:val="nil"/>
              <w:bottom w:val="nil"/>
              <w:right w:val="nil"/>
            </w:tcBorders>
            <w:vAlign w:val="center"/>
          </w:tcPr>
          <w:p w:rsidR="00A660F8" w:rsidRPr="004D55BB" w:rsidRDefault="00A660F8" w:rsidP="009C1509">
            <w:pPr>
              <w:widowControl w:val="0"/>
              <w:autoSpaceDE w:val="0"/>
              <w:autoSpaceDN w:val="0"/>
              <w:adjustRightInd w:val="0"/>
              <w:spacing w:after="0" w:line="240" w:lineRule="auto"/>
              <w:jc w:val="right"/>
              <w:rPr>
                <w:rFonts w:asciiTheme="minorHAnsi" w:hAnsiTheme="minorHAnsi" w:cstheme="minorHAnsi"/>
                <w:color w:val="221E1F"/>
              </w:rPr>
            </w:pPr>
            <w:r w:rsidRPr="004D55BB">
              <w:rPr>
                <w:rFonts w:asciiTheme="minorHAnsi" w:hAnsiTheme="minorHAnsi" w:cstheme="minorHAnsi"/>
                <w:color w:val="221E1F"/>
              </w:rPr>
              <w:t xml:space="preserve">380 000 € </w:t>
            </w:r>
          </w:p>
        </w:tc>
      </w:tr>
    </w:tbl>
    <w:p w:rsidR="00A660F8" w:rsidRPr="004D55BB" w:rsidRDefault="00A660F8" w:rsidP="00A660F8">
      <w:pPr>
        <w:widowControl w:val="0"/>
        <w:autoSpaceDE w:val="0"/>
        <w:autoSpaceDN w:val="0"/>
        <w:adjustRightInd w:val="0"/>
        <w:spacing w:after="0" w:line="240" w:lineRule="auto"/>
        <w:rPr>
          <w:rFonts w:asciiTheme="minorHAnsi" w:hAnsiTheme="minorHAnsi" w:cstheme="minorHAnsi"/>
        </w:rPr>
      </w:pPr>
    </w:p>
    <w:p w:rsidR="00A660F8" w:rsidRPr="004D55BB" w:rsidRDefault="00A660F8" w:rsidP="00A660F8">
      <w:pPr>
        <w:widowControl w:val="0"/>
        <w:autoSpaceDE w:val="0"/>
        <w:autoSpaceDN w:val="0"/>
        <w:adjustRightInd w:val="0"/>
        <w:spacing w:after="0" w:line="240" w:lineRule="auto"/>
        <w:jc w:val="both"/>
        <w:rPr>
          <w:rFonts w:asciiTheme="minorHAnsi" w:hAnsiTheme="minorHAnsi" w:cstheme="minorHAnsi"/>
        </w:rPr>
      </w:pPr>
      <w:r w:rsidRPr="004D55BB">
        <w:rPr>
          <w:rFonts w:asciiTheme="minorHAnsi" w:hAnsiTheme="minorHAnsi" w:cstheme="minorHAnsi"/>
          <w:b/>
          <w:bCs/>
        </w:rPr>
        <w:t xml:space="preserve">Total 440 000 € </w:t>
      </w:r>
    </w:p>
    <w:p w:rsidR="00F35FC6" w:rsidRPr="004D55BB" w:rsidRDefault="00F35FC6" w:rsidP="00A660F8">
      <w:pPr>
        <w:widowControl w:val="0"/>
        <w:autoSpaceDE w:val="0"/>
        <w:autoSpaceDN w:val="0"/>
        <w:adjustRightInd w:val="0"/>
        <w:spacing w:after="0" w:line="240" w:lineRule="auto"/>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40" w:lineRule="auto"/>
        <w:jc w:val="both"/>
        <w:rPr>
          <w:rFonts w:asciiTheme="minorHAnsi" w:hAnsiTheme="minorHAnsi" w:cstheme="minorHAnsi"/>
        </w:rPr>
      </w:pPr>
      <w:r w:rsidRPr="004D55BB">
        <w:rPr>
          <w:rFonts w:asciiTheme="minorHAnsi" w:hAnsiTheme="minorHAnsi" w:cstheme="minorHAnsi"/>
        </w:rPr>
        <w:t xml:space="preserve">Garanties de l’emprunt : </w:t>
      </w:r>
    </w:p>
    <w:p w:rsidR="00A660F8" w:rsidRPr="004D55BB" w:rsidRDefault="00A660F8" w:rsidP="00A660F8">
      <w:pPr>
        <w:widowControl w:val="0"/>
        <w:autoSpaceDE w:val="0"/>
        <w:autoSpaceDN w:val="0"/>
        <w:adjustRightInd w:val="0"/>
        <w:spacing w:after="0" w:line="240" w:lineRule="auto"/>
        <w:rPr>
          <w:rFonts w:asciiTheme="minorHAnsi" w:hAnsiTheme="minorHAnsi" w:cstheme="minorHAnsi"/>
        </w:rPr>
      </w:pPr>
    </w:p>
    <w:p w:rsidR="00A660F8" w:rsidRPr="004D55BB" w:rsidRDefault="00A660F8" w:rsidP="00A660F8">
      <w:pPr>
        <w:widowControl w:val="0"/>
        <w:autoSpaceDE w:val="0"/>
        <w:autoSpaceDN w:val="0"/>
        <w:adjustRightInd w:val="0"/>
        <w:spacing w:after="0" w:line="240" w:lineRule="auto"/>
        <w:rPr>
          <w:rFonts w:asciiTheme="minorHAnsi" w:hAnsiTheme="minorHAnsi" w:cstheme="minorHAnsi"/>
        </w:rPr>
      </w:pPr>
      <w:r w:rsidRPr="004D55BB">
        <w:rPr>
          <w:rFonts w:asciiTheme="minorHAnsi" w:hAnsiTheme="minorHAnsi" w:cstheme="minorHAnsi"/>
        </w:rPr>
        <w:t xml:space="preserve">Nantissement des titres de la société « CARREDAS » </w:t>
      </w:r>
    </w:p>
    <w:p w:rsidR="00A660F8" w:rsidRPr="004D55BB" w:rsidRDefault="00A660F8" w:rsidP="00A660F8">
      <w:pPr>
        <w:widowControl w:val="0"/>
        <w:autoSpaceDE w:val="0"/>
        <w:autoSpaceDN w:val="0"/>
        <w:adjustRightInd w:val="0"/>
        <w:spacing w:after="0" w:line="240" w:lineRule="auto"/>
        <w:rPr>
          <w:rFonts w:asciiTheme="minorHAnsi" w:hAnsiTheme="minorHAnsi" w:cstheme="minorHAnsi"/>
        </w:rPr>
      </w:pPr>
      <w:r w:rsidRPr="004D55BB">
        <w:rPr>
          <w:rFonts w:asciiTheme="minorHAnsi" w:hAnsiTheme="minorHAnsi" w:cstheme="minorHAnsi"/>
        </w:rPr>
        <w:t xml:space="preserve">Assurance décès-invalidité sur la tête du repreneur au </w:t>
      </w:r>
      <w:proofErr w:type="spellStart"/>
      <w:r w:rsidRPr="004D55BB">
        <w:rPr>
          <w:rFonts w:asciiTheme="minorHAnsi" w:hAnsiTheme="minorHAnsi" w:cstheme="minorHAnsi"/>
        </w:rPr>
        <w:t>bénéﬁce</w:t>
      </w:r>
      <w:proofErr w:type="spellEnd"/>
      <w:r w:rsidRPr="004D55BB">
        <w:rPr>
          <w:rFonts w:asciiTheme="minorHAnsi" w:hAnsiTheme="minorHAnsi" w:cstheme="minorHAnsi"/>
        </w:rPr>
        <w:t xml:space="preserve"> des ayants droits </w:t>
      </w:r>
    </w:p>
    <w:p w:rsidR="00F35FC6" w:rsidRPr="004D55BB" w:rsidRDefault="00A660F8" w:rsidP="00F35FC6">
      <w:pPr>
        <w:widowControl w:val="0"/>
        <w:autoSpaceDE w:val="0"/>
        <w:autoSpaceDN w:val="0"/>
        <w:adjustRightInd w:val="0"/>
        <w:spacing w:after="0" w:line="240" w:lineRule="auto"/>
        <w:rPr>
          <w:rFonts w:asciiTheme="minorHAnsi" w:hAnsiTheme="minorHAnsi" w:cstheme="minorHAnsi"/>
        </w:rPr>
      </w:pPr>
      <w:r w:rsidRPr="004D55BB">
        <w:rPr>
          <w:rFonts w:asciiTheme="minorHAnsi" w:hAnsiTheme="minorHAnsi" w:cstheme="minorHAnsi"/>
        </w:rPr>
        <w:t>Caution du repreneur à hau</w:t>
      </w:r>
      <w:r w:rsidR="00F35FC6" w:rsidRPr="004D55BB">
        <w:rPr>
          <w:rFonts w:asciiTheme="minorHAnsi" w:hAnsiTheme="minorHAnsi" w:cstheme="minorHAnsi"/>
        </w:rPr>
        <w:t>teur de 25 % des titres repris</w:t>
      </w:r>
    </w:p>
    <w:p w:rsidR="00F35FC6" w:rsidRPr="004D55BB" w:rsidRDefault="00F35FC6" w:rsidP="00F35FC6">
      <w:pPr>
        <w:widowControl w:val="0"/>
        <w:autoSpaceDE w:val="0"/>
        <w:autoSpaceDN w:val="0"/>
        <w:adjustRightInd w:val="0"/>
        <w:spacing w:after="0" w:line="240" w:lineRule="auto"/>
        <w:rPr>
          <w:rFonts w:asciiTheme="minorHAnsi" w:hAnsiTheme="minorHAnsi" w:cstheme="minorHAnsi"/>
        </w:rPr>
      </w:pPr>
    </w:p>
    <w:p w:rsidR="00A660F8" w:rsidRPr="004D55BB" w:rsidRDefault="00A660F8" w:rsidP="00F35FC6">
      <w:pPr>
        <w:widowControl w:val="0"/>
        <w:autoSpaceDE w:val="0"/>
        <w:autoSpaceDN w:val="0"/>
        <w:adjustRightInd w:val="0"/>
        <w:spacing w:after="0" w:line="240" w:lineRule="auto"/>
        <w:rPr>
          <w:rFonts w:asciiTheme="minorHAnsi" w:hAnsiTheme="minorHAnsi" w:cstheme="minorHAnsi"/>
        </w:rPr>
      </w:pPr>
      <w:r w:rsidRPr="004D55BB">
        <w:rPr>
          <w:rFonts w:asciiTheme="minorHAnsi" w:hAnsiTheme="minorHAnsi" w:cstheme="minorHAnsi"/>
          <w:b/>
          <w:bCs/>
        </w:rPr>
        <w:t>Troisième étape :</w:t>
      </w:r>
      <w:r w:rsidRPr="004D55BB">
        <w:rPr>
          <w:rFonts w:asciiTheme="minorHAnsi" w:hAnsiTheme="minorHAnsi" w:cstheme="minorHAnsi"/>
        </w:rPr>
        <w:t xml:space="preserve"> Remontée sur la holding du personnel de direction et administratif commun aux deux sociétés.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t xml:space="preserve">Mise en place au niveau du groupe de conventions d’intégration </w:t>
      </w:r>
      <w:proofErr w:type="spellStart"/>
      <w:r w:rsidRPr="004D55BB">
        <w:rPr>
          <w:rFonts w:asciiTheme="minorHAnsi" w:hAnsiTheme="minorHAnsi" w:cstheme="minorHAnsi"/>
        </w:rPr>
        <w:t>ﬁscale</w:t>
      </w:r>
      <w:proofErr w:type="spellEnd"/>
      <w:r w:rsidRPr="004D55BB">
        <w:rPr>
          <w:rFonts w:asciiTheme="minorHAnsi" w:hAnsiTheme="minorHAnsi" w:cstheme="minorHAnsi"/>
        </w:rPr>
        <w:t>, de prestations de services et de trésorerie pour optimi</w:t>
      </w:r>
      <w:r w:rsidR="00F35FC6" w:rsidRPr="004D55BB">
        <w:rPr>
          <w:rFonts w:asciiTheme="minorHAnsi" w:hAnsiTheme="minorHAnsi" w:cstheme="minorHAnsi"/>
        </w:rPr>
        <w:t xml:space="preserve">ser le montage juridique, </w:t>
      </w:r>
      <w:proofErr w:type="spellStart"/>
      <w:r w:rsidR="00F35FC6" w:rsidRPr="004D55BB">
        <w:rPr>
          <w:rFonts w:asciiTheme="minorHAnsi" w:hAnsiTheme="minorHAnsi" w:cstheme="minorHAnsi"/>
        </w:rPr>
        <w:t>ﬁscal</w:t>
      </w:r>
      <w:proofErr w:type="spellEnd"/>
      <w:r w:rsidRPr="004D55BB">
        <w:rPr>
          <w:rFonts w:asciiTheme="minorHAnsi" w:hAnsiTheme="minorHAnsi" w:cstheme="minorHAnsi"/>
        </w:rPr>
        <w:t xml:space="preserve"> et </w:t>
      </w:r>
      <w:proofErr w:type="spellStart"/>
      <w:r w:rsidRPr="004D55BB">
        <w:rPr>
          <w:rFonts w:asciiTheme="minorHAnsi" w:hAnsiTheme="minorHAnsi" w:cstheme="minorHAnsi"/>
        </w:rPr>
        <w:t>ﬁnancier</w:t>
      </w:r>
      <w:proofErr w:type="spellEnd"/>
      <w:r w:rsidRPr="004D55BB">
        <w:rPr>
          <w:rFonts w:asciiTheme="minorHAnsi" w:hAnsiTheme="minorHAnsi" w:cstheme="minorHAnsi"/>
        </w:rPr>
        <w:t xml:space="preserve">.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b/>
          <w:bCs/>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b/>
          <w:bCs/>
        </w:rPr>
        <w:t xml:space="preserve">Accompagnement et garanties du cédant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t xml:space="preserve">Accompagnement du cédant dégressif sur 3 mois, non rémunéré. </w:t>
      </w: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t xml:space="preserve">Garantie d’actif et de passif plafonnée au prix de cession. </w:t>
      </w: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t xml:space="preserve">Garantie de la garantie sous forme de caution bancaire d’un montant de 100 000 euros. </w:t>
      </w: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t xml:space="preserve">Clause de non concurrence et de non débauchage directement et indirectement de 5 ans.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b/>
          <w:bCs/>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b/>
          <w:bCs/>
        </w:rPr>
        <w:t xml:space="preserve">Évolution après 18 mois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t xml:space="preserve">Cette reprise s’est passée sans </w:t>
      </w:r>
      <w:proofErr w:type="spellStart"/>
      <w:r w:rsidRPr="004D55BB">
        <w:rPr>
          <w:rFonts w:asciiTheme="minorHAnsi" w:hAnsiTheme="minorHAnsi" w:cstheme="minorHAnsi"/>
        </w:rPr>
        <w:t>difﬁculté</w:t>
      </w:r>
      <w:r w:rsidR="00F35FC6" w:rsidRPr="004D55BB">
        <w:rPr>
          <w:rFonts w:asciiTheme="minorHAnsi" w:hAnsiTheme="minorHAnsi" w:cstheme="minorHAnsi"/>
        </w:rPr>
        <w:t>s</w:t>
      </w:r>
      <w:proofErr w:type="spellEnd"/>
      <w:r w:rsidRPr="004D55BB">
        <w:rPr>
          <w:rFonts w:asciiTheme="minorHAnsi" w:hAnsiTheme="minorHAnsi" w:cstheme="minorHAnsi"/>
        </w:rPr>
        <w:t xml:space="preserve">. Maintien du chiffre d’affaires et de la rentabilité de l’entreprise. Accompagnement sans heurt du cédant.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b/>
          <w:bCs/>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b/>
          <w:bCs/>
        </w:rPr>
        <w:t xml:space="preserve">Analyse et commentaires de l’expert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lastRenderedPageBreak/>
        <w:t xml:space="preserve">Montage classique de reprise à partir d’une société existante. </w:t>
      </w:r>
    </w:p>
    <w:p w:rsidR="00F35FC6"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t xml:space="preserve">Le repreneur a limité son apport personnel au maximum </w:t>
      </w:r>
      <w:proofErr w:type="spellStart"/>
      <w:r w:rsidRPr="004D55BB">
        <w:rPr>
          <w:rFonts w:asciiTheme="minorHAnsi" w:hAnsiTheme="minorHAnsi" w:cstheme="minorHAnsi"/>
        </w:rPr>
        <w:t>aﬁn</w:t>
      </w:r>
      <w:proofErr w:type="spellEnd"/>
      <w:r w:rsidRPr="004D55BB">
        <w:rPr>
          <w:rFonts w:asciiTheme="minorHAnsi" w:hAnsiTheme="minorHAnsi" w:cstheme="minorHAnsi"/>
        </w:rPr>
        <w:t xml:space="preserve"> de préserver sa trésorerie sur sa société existante.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t xml:space="preserve">De ce fait, il a été contraint de donner sa caution personnelle de manière partielle pour obtenir le </w:t>
      </w:r>
      <w:proofErr w:type="spellStart"/>
      <w:r w:rsidRPr="004D55BB">
        <w:rPr>
          <w:rFonts w:asciiTheme="minorHAnsi" w:hAnsiTheme="minorHAnsi" w:cstheme="minorHAnsi"/>
        </w:rPr>
        <w:t>ﬁnancement</w:t>
      </w:r>
      <w:proofErr w:type="spellEnd"/>
      <w:r w:rsidRPr="004D55BB">
        <w:rPr>
          <w:rFonts w:asciiTheme="minorHAnsi" w:hAnsiTheme="minorHAnsi" w:cstheme="minorHAnsi"/>
        </w:rPr>
        <w:t xml:space="preserve"> de l’opération auprès des banques.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t xml:space="preserve">La distribution de dividende exceptionnelle sur la cible est raisonnable et permet d’envisager une distribution complémentaire sur les réserves et la trésorerie, en cas de mauvais exercice dans les années à venir. </w:t>
      </w:r>
    </w:p>
    <w:p w:rsidR="00F35FC6" w:rsidRPr="004D55BB" w:rsidRDefault="00F35FC6" w:rsidP="00A660F8">
      <w:pPr>
        <w:widowControl w:val="0"/>
        <w:autoSpaceDE w:val="0"/>
        <w:autoSpaceDN w:val="0"/>
        <w:adjustRightInd w:val="0"/>
        <w:spacing w:after="0" w:line="276" w:lineRule="atLeast"/>
        <w:jc w:val="both"/>
        <w:rPr>
          <w:rFonts w:asciiTheme="minorHAnsi" w:hAnsiTheme="minorHAnsi" w:cstheme="minorHAnsi"/>
        </w:rPr>
      </w:pPr>
    </w:p>
    <w:p w:rsidR="00A660F8" w:rsidRPr="004D55BB" w:rsidRDefault="00A660F8" w:rsidP="00A660F8">
      <w:pPr>
        <w:widowControl w:val="0"/>
        <w:autoSpaceDE w:val="0"/>
        <w:autoSpaceDN w:val="0"/>
        <w:adjustRightInd w:val="0"/>
        <w:spacing w:after="0" w:line="276" w:lineRule="atLeast"/>
        <w:jc w:val="both"/>
        <w:rPr>
          <w:rFonts w:asciiTheme="minorHAnsi" w:hAnsiTheme="minorHAnsi" w:cstheme="minorHAnsi"/>
        </w:rPr>
      </w:pPr>
      <w:r w:rsidRPr="004D55BB">
        <w:rPr>
          <w:rFonts w:asciiTheme="minorHAnsi" w:hAnsiTheme="minorHAnsi" w:cstheme="minorHAnsi"/>
        </w:rPr>
        <w:t xml:space="preserve">Le fait de regrouper les deux sociétés sous une même holding permet de consolider les résultats et la trésorerie des deux sociétés. La remontée du staff de direction sur la holding transforme les deux entreprises en sociétés de production et facilite ainsi le suivi des rentabilités contributives de chacune. </w:t>
      </w:r>
    </w:p>
    <w:p w:rsidR="001815D3" w:rsidRPr="004D55BB" w:rsidRDefault="001815D3">
      <w:pPr>
        <w:rPr>
          <w:rFonts w:asciiTheme="minorHAnsi" w:hAnsiTheme="minorHAnsi" w:cstheme="minorHAnsi"/>
        </w:rPr>
      </w:pPr>
    </w:p>
    <w:sectPr w:rsidR="001815D3" w:rsidRPr="004D55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0F8"/>
    <w:rsid w:val="00161793"/>
    <w:rsid w:val="001815D3"/>
    <w:rsid w:val="004D55BB"/>
    <w:rsid w:val="00A660F8"/>
    <w:rsid w:val="00F35F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0F8"/>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0F8"/>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646</Words>
  <Characters>3558</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Jean-Marc TARIANT</dc:creator>
  <cp:lastModifiedBy>Jean-Marc TARIANT</cp:lastModifiedBy>
  <cp:revision>3</cp:revision>
  <dcterms:created xsi:type="dcterms:W3CDTF">2014-03-08T21:46:00Z</dcterms:created>
  <dcterms:modified xsi:type="dcterms:W3CDTF">2014-03-08T21:47:00Z</dcterms:modified>
</cp:coreProperties>
</file>