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1D573" w14:textId="765DB878" w:rsidR="007A0F7B" w:rsidRPr="007A0F7B" w:rsidRDefault="00AF202F" w:rsidP="00AB6E9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REGLEMENT DE LA CONSULTATION</w:t>
      </w:r>
    </w:p>
    <w:p w14:paraId="223CC7C0" w14:textId="77777777" w:rsidR="009115DB" w:rsidRDefault="009115DB" w:rsidP="00AB6E9F">
      <w:pPr>
        <w:spacing w:after="0" w:line="240" w:lineRule="auto"/>
        <w:jc w:val="center"/>
        <w:rPr>
          <w:b/>
          <w:sz w:val="24"/>
        </w:rPr>
      </w:pPr>
    </w:p>
    <w:p w14:paraId="047AC50A" w14:textId="77777777" w:rsidR="00AF202F" w:rsidRDefault="00AF202F" w:rsidP="00AB6E9F">
      <w:pPr>
        <w:spacing w:after="0" w:line="240" w:lineRule="auto"/>
        <w:jc w:val="center"/>
      </w:pPr>
    </w:p>
    <w:p w14:paraId="53D80ABB" w14:textId="77777777" w:rsidR="007A0F7B" w:rsidRPr="007A0F7B" w:rsidRDefault="007A0F7B" w:rsidP="00AB6E9F">
      <w:pPr>
        <w:spacing w:after="0" w:line="240" w:lineRule="auto"/>
        <w:jc w:val="center"/>
      </w:pPr>
    </w:p>
    <w:p w14:paraId="10C7D503" w14:textId="1A1BFDD4" w:rsidR="00967576" w:rsidRPr="007A0F7B" w:rsidRDefault="00940833" w:rsidP="00AB6E9F">
      <w:pPr>
        <w:spacing w:after="0" w:line="240" w:lineRule="auto"/>
        <w:jc w:val="both"/>
        <w:rPr>
          <w:sz w:val="18"/>
          <w:szCs w:val="18"/>
        </w:rPr>
      </w:pPr>
      <w:r w:rsidRPr="007A0F7B">
        <w:rPr>
          <w:sz w:val="18"/>
          <w:szCs w:val="18"/>
        </w:rPr>
        <w:t>L</w:t>
      </w:r>
      <w:r w:rsidR="00A04B6D" w:rsidRPr="007A0F7B">
        <w:rPr>
          <w:sz w:val="18"/>
          <w:szCs w:val="18"/>
        </w:rPr>
        <w:t>e g</w:t>
      </w:r>
      <w:r w:rsidR="009115DB" w:rsidRPr="007A0F7B">
        <w:rPr>
          <w:sz w:val="18"/>
          <w:szCs w:val="18"/>
        </w:rPr>
        <w:t xml:space="preserve">roupe </w:t>
      </w:r>
      <w:r w:rsidR="00AF202F">
        <w:rPr>
          <w:sz w:val="18"/>
          <w:szCs w:val="18"/>
        </w:rPr>
        <w:t>XXXX</w:t>
      </w:r>
      <w:r w:rsidRPr="007A0F7B">
        <w:rPr>
          <w:sz w:val="18"/>
          <w:szCs w:val="18"/>
        </w:rPr>
        <w:t>, en pleine croissance et dans sa démarche de développement,</w:t>
      </w:r>
      <w:r w:rsidR="009115DB" w:rsidRPr="007A0F7B">
        <w:rPr>
          <w:sz w:val="18"/>
          <w:szCs w:val="18"/>
        </w:rPr>
        <w:t xml:space="preserve"> vous invite par la présente consultation à soumettre votre proposition</w:t>
      </w:r>
      <w:r w:rsidR="00F82F09" w:rsidRPr="007A0F7B">
        <w:rPr>
          <w:sz w:val="18"/>
          <w:szCs w:val="18"/>
        </w:rPr>
        <w:t xml:space="preserve"> </w:t>
      </w:r>
      <w:r w:rsidRPr="007A0F7B">
        <w:rPr>
          <w:sz w:val="18"/>
          <w:szCs w:val="18"/>
        </w:rPr>
        <w:t xml:space="preserve">pour </w:t>
      </w:r>
      <w:r w:rsidR="007A0F7B" w:rsidRPr="007A0F7B">
        <w:rPr>
          <w:sz w:val="18"/>
          <w:szCs w:val="18"/>
        </w:rPr>
        <w:t>le</w:t>
      </w:r>
      <w:r w:rsidR="00F82F09" w:rsidRPr="007A0F7B">
        <w:rPr>
          <w:sz w:val="18"/>
          <w:szCs w:val="18"/>
        </w:rPr>
        <w:t xml:space="preserve"> </w:t>
      </w:r>
      <w:r w:rsidR="00AF202F">
        <w:rPr>
          <w:sz w:val="18"/>
          <w:szCs w:val="18"/>
        </w:rPr>
        <w:t>XXXXX</w:t>
      </w:r>
      <w:r w:rsidRPr="007A0F7B">
        <w:rPr>
          <w:sz w:val="18"/>
          <w:szCs w:val="18"/>
        </w:rPr>
        <w:t xml:space="preserve">, et notamment </w:t>
      </w:r>
      <w:r w:rsidR="00967576" w:rsidRPr="007A0F7B">
        <w:rPr>
          <w:sz w:val="18"/>
          <w:szCs w:val="18"/>
        </w:rPr>
        <w:t xml:space="preserve">différentes fournitures </w:t>
      </w:r>
      <w:r w:rsidR="00AF202F">
        <w:rPr>
          <w:sz w:val="18"/>
          <w:szCs w:val="18"/>
        </w:rPr>
        <w:t>XXXX</w:t>
      </w:r>
      <w:r w:rsidR="00967576" w:rsidRPr="007A0F7B">
        <w:rPr>
          <w:sz w:val="18"/>
          <w:szCs w:val="18"/>
        </w:rPr>
        <w:t xml:space="preserve"> (le groupe possède actuellement près de </w:t>
      </w:r>
      <w:r w:rsidR="00AF202F">
        <w:rPr>
          <w:b/>
          <w:sz w:val="18"/>
          <w:szCs w:val="18"/>
          <w:u w:val="single"/>
        </w:rPr>
        <w:t>XXXX</w:t>
      </w:r>
      <w:r w:rsidR="00967576" w:rsidRPr="007A0F7B">
        <w:rPr>
          <w:sz w:val="18"/>
          <w:szCs w:val="18"/>
        </w:rPr>
        <w:t>).</w:t>
      </w:r>
    </w:p>
    <w:p w14:paraId="5D4399C6" w14:textId="67113DC1" w:rsidR="009115DB" w:rsidRPr="007A0F7B" w:rsidRDefault="007A0F7B" w:rsidP="00AB6E9F">
      <w:pPr>
        <w:spacing w:after="0" w:line="240" w:lineRule="auto"/>
        <w:jc w:val="both"/>
        <w:rPr>
          <w:sz w:val="18"/>
          <w:szCs w:val="18"/>
        </w:rPr>
      </w:pPr>
      <w:r w:rsidRPr="007A0F7B">
        <w:rPr>
          <w:sz w:val="18"/>
          <w:szCs w:val="18"/>
        </w:rPr>
        <w:t xml:space="preserve">Les points suivants sont notamment évalués : la disponibilité, la </w:t>
      </w:r>
      <w:r w:rsidR="00A04B6D" w:rsidRPr="007A0F7B">
        <w:rPr>
          <w:sz w:val="18"/>
          <w:szCs w:val="18"/>
        </w:rPr>
        <w:t xml:space="preserve">compétitivité des prix, le niveau de service, la capacité du fournisseur à proposer des solutions </w:t>
      </w:r>
      <w:r w:rsidR="006F08E5" w:rsidRPr="007A0F7B">
        <w:rPr>
          <w:sz w:val="18"/>
          <w:szCs w:val="18"/>
        </w:rPr>
        <w:t>alternatives</w:t>
      </w:r>
      <w:r w:rsidR="00A04B6D" w:rsidRPr="007A0F7B">
        <w:rPr>
          <w:sz w:val="18"/>
          <w:szCs w:val="18"/>
        </w:rPr>
        <w:t xml:space="preserve"> et la santé financière. </w:t>
      </w:r>
      <w:r w:rsidRPr="007A0F7B">
        <w:rPr>
          <w:sz w:val="18"/>
          <w:szCs w:val="18"/>
        </w:rPr>
        <w:t>La répartition</w:t>
      </w:r>
      <w:r w:rsidR="00A04B6D" w:rsidRPr="007A0F7B">
        <w:rPr>
          <w:sz w:val="18"/>
          <w:szCs w:val="18"/>
        </w:rPr>
        <w:t xml:space="preserve"> du marché sera basée sur la meilleure offre gl</w:t>
      </w:r>
      <w:r w:rsidRPr="007A0F7B">
        <w:rPr>
          <w:sz w:val="18"/>
          <w:szCs w:val="18"/>
        </w:rPr>
        <w:t>obale.</w:t>
      </w:r>
    </w:p>
    <w:p w14:paraId="056F17ED" w14:textId="77777777" w:rsidR="00A04B6D" w:rsidRPr="007A0F7B" w:rsidRDefault="00A04B6D" w:rsidP="00AB6E9F">
      <w:pPr>
        <w:spacing w:after="0" w:line="240" w:lineRule="auto"/>
        <w:jc w:val="both"/>
        <w:rPr>
          <w:sz w:val="18"/>
          <w:szCs w:val="18"/>
        </w:rPr>
      </w:pPr>
    </w:p>
    <w:p w14:paraId="11F58E28" w14:textId="0388F18A" w:rsidR="00A04B6D" w:rsidRPr="007A0F7B" w:rsidRDefault="00A04B6D" w:rsidP="00AB6E9F">
      <w:pPr>
        <w:spacing w:after="0" w:line="240" w:lineRule="auto"/>
        <w:jc w:val="both"/>
        <w:rPr>
          <w:sz w:val="18"/>
          <w:szCs w:val="18"/>
        </w:rPr>
      </w:pPr>
      <w:r w:rsidRPr="007A0F7B">
        <w:rPr>
          <w:sz w:val="18"/>
          <w:szCs w:val="18"/>
        </w:rPr>
        <w:t xml:space="preserve">Les propositions des fournisseurs serviront de base pour tout accord et représentent une proposition ferme et contractuelle </w:t>
      </w:r>
      <w:r w:rsidR="007875CF" w:rsidRPr="007A0F7B">
        <w:rPr>
          <w:sz w:val="18"/>
          <w:szCs w:val="18"/>
        </w:rPr>
        <w:t xml:space="preserve">de fournir le produit </w:t>
      </w:r>
      <w:r w:rsidR="007A0F7B" w:rsidRPr="007A0F7B">
        <w:rPr>
          <w:sz w:val="18"/>
          <w:szCs w:val="18"/>
        </w:rPr>
        <w:t xml:space="preserve">attendu par le groupe </w:t>
      </w:r>
      <w:r w:rsidR="00AF202F">
        <w:rPr>
          <w:sz w:val="18"/>
          <w:szCs w:val="18"/>
        </w:rPr>
        <w:t>XXXX</w:t>
      </w:r>
      <w:r w:rsidR="007A0F7B" w:rsidRPr="007A0F7B">
        <w:rPr>
          <w:sz w:val="18"/>
          <w:szCs w:val="18"/>
        </w:rPr>
        <w:t>.</w:t>
      </w:r>
    </w:p>
    <w:p w14:paraId="145B4AB5" w14:textId="77777777" w:rsidR="00D442DA" w:rsidRPr="007A0F7B" w:rsidRDefault="00D442DA" w:rsidP="00AB6E9F">
      <w:pPr>
        <w:spacing w:after="0" w:line="240" w:lineRule="auto"/>
        <w:jc w:val="both"/>
        <w:rPr>
          <w:sz w:val="18"/>
          <w:szCs w:val="18"/>
        </w:rPr>
      </w:pPr>
    </w:p>
    <w:p w14:paraId="0D4DC1BF" w14:textId="1BEB7386" w:rsidR="00D442DA" w:rsidRPr="007A0F7B" w:rsidRDefault="007A0F7B" w:rsidP="00AB6E9F">
      <w:pPr>
        <w:spacing w:after="0" w:line="240" w:lineRule="auto"/>
        <w:jc w:val="both"/>
        <w:rPr>
          <w:sz w:val="18"/>
          <w:szCs w:val="18"/>
        </w:rPr>
      </w:pPr>
      <w:r w:rsidRPr="007A0F7B">
        <w:rPr>
          <w:sz w:val="18"/>
          <w:szCs w:val="18"/>
        </w:rPr>
        <w:t>Nous vous prions de mettre en avant vos</w:t>
      </w:r>
      <w:r w:rsidR="00D442DA" w:rsidRPr="007A0F7B">
        <w:rPr>
          <w:sz w:val="18"/>
          <w:szCs w:val="18"/>
        </w:rPr>
        <w:t xml:space="preserve"> capacité</w:t>
      </w:r>
      <w:r w:rsidRPr="007A0F7B">
        <w:rPr>
          <w:sz w:val="18"/>
          <w:szCs w:val="18"/>
        </w:rPr>
        <w:t>s</w:t>
      </w:r>
      <w:r w:rsidR="00D442DA" w:rsidRPr="007A0F7B">
        <w:rPr>
          <w:sz w:val="18"/>
          <w:szCs w:val="18"/>
        </w:rPr>
        <w:t xml:space="preserve"> à proposer des solutions de </w:t>
      </w:r>
      <w:proofErr w:type="spellStart"/>
      <w:r w:rsidR="00D442DA" w:rsidRPr="007A0F7B">
        <w:rPr>
          <w:sz w:val="18"/>
          <w:szCs w:val="18"/>
        </w:rPr>
        <w:t>reporting</w:t>
      </w:r>
      <w:proofErr w:type="spellEnd"/>
      <w:r w:rsidR="00D442DA" w:rsidRPr="007A0F7B">
        <w:rPr>
          <w:sz w:val="18"/>
          <w:szCs w:val="18"/>
        </w:rPr>
        <w:t xml:space="preserve"> et de mesure de la performance, adaptés </w:t>
      </w:r>
      <w:r w:rsidRPr="007A0F7B">
        <w:rPr>
          <w:sz w:val="18"/>
          <w:szCs w:val="18"/>
        </w:rPr>
        <w:t xml:space="preserve">aux objectifs du groupe </w:t>
      </w:r>
      <w:r w:rsidR="00AF202F">
        <w:rPr>
          <w:sz w:val="18"/>
          <w:szCs w:val="18"/>
        </w:rPr>
        <w:t>XXXX</w:t>
      </w:r>
      <w:r w:rsidRPr="007A0F7B">
        <w:rPr>
          <w:sz w:val="18"/>
          <w:szCs w:val="18"/>
        </w:rPr>
        <w:t xml:space="preserve"> (livraison à temps, </w:t>
      </w:r>
      <w:proofErr w:type="gramStart"/>
      <w:r w:rsidRPr="007A0F7B">
        <w:rPr>
          <w:sz w:val="18"/>
          <w:szCs w:val="18"/>
        </w:rPr>
        <w:t>stocks…)</w:t>
      </w:r>
      <w:proofErr w:type="gramEnd"/>
      <w:r w:rsidR="00D442DA" w:rsidRPr="007A0F7B">
        <w:rPr>
          <w:sz w:val="18"/>
          <w:szCs w:val="18"/>
        </w:rPr>
        <w:t xml:space="preserve">. </w:t>
      </w:r>
    </w:p>
    <w:p w14:paraId="7B0E7481" w14:textId="77777777" w:rsidR="00D442DA" w:rsidRPr="007A0F7B" w:rsidRDefault="00D442DA" w:rsidP="00AB6E9F">
      <w:pPr>
        <w:spacing w:after="0" w:line="240" w:lineRule="auto"/>
        <w:jc w:val="both"/>
        <w:rPr>
          <w:sz w:val="18"/>
          <w:szCs w:val="18"/>
        </w:rPr>
      </w:pPr>
    </w:p>
    <w:p w14:paraId="74987AF0" w14:textId="77777777" w:rsidR="009115DB" w:rsidRPr="007A0F7B" w:rsidRDefault="00D442DA" w:rsidP="00AB6E9F">
      <w:pPr>
        <w:spacing w:after="0" w:line="240" w:lineRule="auto"/>
        <w:jc w:val="both"/>
        <w:rPr>
          <w:b/>
          <w:i/>
          <w:sz w:val="18"/>
          <w:szCs w:val="18"/>
          <w:u w:val="single"/>
        </w:rPr>
      </w:pPr>
      <w:r w:rsidRPr="007A0F7B">
        <w:rPr>
          <w:b/>
          <w:i/>
          <w:sz w:val="18"/>
          <w:szCs w:val="18"/>
          <w:u w:val="single"/>
        </w:rPr>
        <w:t>Déroulement de l’appel d’offres Matériel Incendie :</w:t>
      </w:r>
    </w:p>
    <w:p w14:paraId="18B12F9E" w14:textId="77777777" w:rsidR="00106D46" w:rsidRPr="007A0F7B" w:rsidRDefault="00106D46" w:rsidP="00AB6E9F">
      <w:pPr>
        <w:spacing w:after="0" w:line="240" w:lineRule="auto"/>
        <w:jc w:val="both"/>
        <w:rPr>
          <w:b/>
          <w:i/>
          <w:u w:val="single"/>
        </w:rPr>
      </w:pPr>
    </w:p>
    <w:tbl>
      <w:tblPr>
        <w:tblW w:w="10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6"/>
        <w:gridCol w:w="2902"/>
      </w:tblGrid>
      <w:tr w:rsidR="009115DB" w:rsidRPr="007A0F7B" w14:paraId="00206EB2" w14:textId="77777777" w:rsidTr="007A0F7B">
        <w:trPr>
          <w:trHeight w:val="274"/>
        </w:trPr>
        <w:tc>
          <w:tcPr>
            <w:tcW w:w="7546" w:type="dxa"/>
            <w:vAlign w:val="center"/>
          </w:tcPr>
          <w:p w14:paraId="607C7F90" w14:textId="77777777" w:rsidR="009115DB" w:rsidRPr="007A0F7B" w:rsidRDefault="009115DB" w:rsidP="00AB6E9F">
            <w:pPr>
              <w:spacing w:after="0" w:line="240" w:lineRule="auto"/>
              <w:ind w:right="-2"/>
              <w:jc w:val="both"/>
              <w:rPr>
                <w:rFonts w:ascii="Calibri" w:eastAsia="Times New Roman" w:hAnsi="Calibri" w:cs="Arial"/>
                <w:b/>
                <w:sz w:val="18"/>
                <w:szCs w:val="18"/>
                <w:lang w:eastAsia="fr-FR"/>
              </w:rPr>
            </w:pPr>
            <w:r w:rsidRPr="007A0F7B">
              <w:rPr>
                <w:rFonts w:ascii="Calibri" w:eastAsia="Times New Roman" w:hAnsi="Calibri" w:cs="Arial"/>
                <w:b/>
                <w:sz w:val="18"/>
                <w:szCs w:val="18"/>
                <w:lang w:eastAsia="fr-FR"/>
              </w:rPr>
              <w:t>Lancement de l’appel d’offres</w:t>
            </w:r>
          </w:p>
        </w:tc>
        <w:tc>
          <w:tcPr>
            <w:tcW w:w="2902" w:type="dxa"/>
            <w:vAlign w:val="center"/>
          </w:tcPr>
          <w:p w14:paraId="233695E0" w14:textId="646C354A" w:rsidR="009115DB" w:rsidRPr="007A0F7B" w:rsidRDefault="00FD7C49" w:rsidP="00410C97">
            <w:pPr>
              <w:spacing w:after="0" w:line="240" w:lineRule="auto"/>
              <w:ind w:right="-2"/>
              <w:jc w:val="center"/>
              <w:rPr>
                <w:rFonts w:ascii="Calibri" w:eastAsia="Times New Roman" w:hAnsi="Calibri" w:cs="Arial"/>
                <w:b/>
                <w:color w:val="000000" w:themeColor="text1"/>
                <w:sz w:val="18"/>
                <w:szCs w:val="18"/>
                <w:lang w:eastAsia="fr-FR"/>
              </w:rPr>
            </w:pPr>
            <w:r w:rsidRPr="007A0F7B">
              <w:rPr>
                <w:rFonts w:ascii="Calibri" w:eastAsia="Times New Roman" w:hAnsi="Calibri" w:cs="Arial"/>
                <w:b/>
                <w:bCs/>
                <w:color w:val="000000" w:themeColor="text1"/>
                <w:sz w:val="18"/>
                <w:szCs w:val="18"/>
                <w:lang w:eastAsia="fr-FR"/>
              </w:rPr>
              <w:t>12</w:t>
            </w:r>
            <w:r w:rsidR="00376B34" w:rsidRPr="007A0F7B">
              <w:rPr>
                <w:rFonts w:ascii="Calibri" w:eastAsia="Times New Roman" w:hAnsi="Calibri" w:cs="Arial"/>
                <w:b/>
                <w:bCs/>
                <w:color w:val="000000" w:themeColor="text1"/>
                <w:sz w:val="18"/>
                <w:szCs w:val="18"/>
                <w:lang w:eastAsia="fr-FR"/>
              </w:rPr>
              <w:t>/02/201</w:t>
            </w:r>
            <w:r w:rsidR="00AF202F">
              <w:rPr>
                <w:rFonts w:ascii="Calibri" w:eastAsia="Times New Roman" w:hAnsi="Calibri" w:cs="Arial"/>
                <w:b/>
                <w:bCs/>
                <w:color w:val="000000" w:themeColor="text1"/>
                <w:sz w:val="18"/>
                <w:szCs w:val="18"/>
                <w:lang w:eastAsia="fr-FR"/>
              </w:rPr>
              <w:t>5</w:t>
            </w:r>
          </w:p>
        </w:tc>
      </w:tr>
      <w:tr w:rsidR="009115DB" w:rsidRPr="007A0F7B" w14:paraId="563C8F3F" w14:textId="77777777" w:rsidTr="007A0F7B">
        <w:trPr>
          <w:trHeight w:val="274"/>
        </w:trPr>
        <w:tc>
          <w:tcPr>
            <w:tcW w:w="7546" w:type="dxa"/>
            <w:vAlign w:val="center"/>
          </w:tcPr>
          <w:p w14:paraId="77435E9B" w14:textId="77777777" w:rsidR="009115DB" w:rsidRPr="007A0F7B" w:rsidRDefault="009115DB" w:rsidP="00AB6E9F">
            <w:pPr>
              <w:spacing w:after="0" w:line="240" w:lineRule="auto"/>
              <w:ind w:right="-2"/>
              <w:jc w:val="both"/>
              <w:rPr>
                <w:rFonts w:ascii="Calibri" w:eastAsia="Times New Roman" w:hAnsi="Calibri" w:cs="Arial"/>
                <w:b/>
                <w:sz w:val="18"/>
                <w:szCs w:val="18"/>
                <w:lang w:eastAsia="fr-FR"/>
              </w:rPr>
            </w:pPr>
            <w:r w:rsidRPr="007A0F7B">
              <w:rPr>
                <w:rFonts w:ascii="Calibri" w:eastAsia="Times New Roman" w:hAnsi="Calibri" w:cs="Arial"/>
                <w:b/>
                <w:sz w:val="18"/>
                <w:szCs w:val="18"/>
                <w:lang w:eastAsia="fr-FR"/>
              </w:rPr>
              <w:t>Fermeture de l’appel d’offres</w:t>
            </w:r>
          </w:p>
        </w:tc>
        <w:tc>
          <w:tcPr>
            <w:tcW w:w="2902" w:type="dxa"/>
          </w:tcPr>
          <w:p w14:paraId="6E914623" w14:textId="4C797F5D" w:rsidR="009115DB" w:rsidRPr="007A0F7B" w:rsidRDefault="00FD7C49" w:rsidP="00FD7C49">
            <w:pPr>
              <w:spacing w:after="0" w:line="240" w:lineRule="auto"/>
              <w:ind w:right="-2"/>
              <w:jc w:val="center"/>
              <w:rPr>
                <w:rFonts w:ascii="Calibri" w:eastAsia="Times New Roman" w:hAnsi="Calibri" w:cs="Arial"/>
                <w:b/>
                <w:color w:val="000000" w:themeColor="text1"/>
                <w:sz w:val="18"/>
                <w:szCs w:val="18"/>
                <w:lang w:eastAsia="fr-FR"/>
              </w:rPr>
            </w:pPr>
            <w:r w:rsidRPr="007A0F7B">
              <w:rPr>
                <w:rFonts w:ascii="Calibri" w:eastAsia="Times New Roman" w:hAnsi="Calibri" w:cs="Arial"/>
                <w:b/>
                <w:color w:val="000000" w:themeColor="text1"/>
                <w:sz w:val="18"/>
                <w:szCs w:val="18"/>
                <w:lang w:eastAsia="fr-FR"/>
              </w:rPr>
              <w:t>04</w:t>
            </w:r>
            <w:r w:rsidR="00376B34" w:rsidRPr="007A0F7B">
              <w:rPr>
                <w:rFonts w:ascii="Calibri" w:eastAsia="Times New Roman" w:hAnsi="Calibri" w:cs="Arial"/>
                <w:b/>
                <w:color w:val="000000" w:themeColor="text1"/>
                <w:sz w:val="18"/>
                <w:szCs w:val="18"/>
                <w:lang w:eastAsia="fr-FR"/>
              </w:rPr>
              <w:t>/0</w:t>
            </w:r>
            <w:r w:rsidRPr="007A0F7B">
              <w:rPr>
                <w:rFonts w:ascii="Calibri" w:eastAsia="Times New Roman" w:hAnsi="Calibri" w:cs="Arial"/>
                <w:b/>
                <w:color w:val="000000" w:themeColor="text1"/>
                <w:sz w:val="18"/>
                <w:szCs w:val="18"/>
                <w:lang w:eastAsia="fr-FR"/>
              </w:rPr>
              <w:t>3</w:t>
            </w:r>
            <w:r w:rsidR="00376B34" w:rsidRPr="007A0F7B">
              <w:rPr>
                <w:rFonts w:ascii="Calibri" w:eastAsia="Times New Roman" w:hAnsi="Calibri" w:cs="Arial"/>
                <w:b/>
                <w:color w:val="000000" w:themeColor="text1"/>
                <w:sz w:val="18"/>
                <w:szCs w:val="18"/>
                <w:lang w:eastAsia="fr-FR"/>
              </w:rPr>
              <w:t>/201</w:t>
            </w:r>
            <w:r w:rsidR="00AF202F">
              <w:rPr>
                <w:rFonts w:ascii="Calibri" w:eastAsia="Times New Roman" w:hAnsi="Calibri" w:cs="Arial"/>
                <w:b/>
                <w:color w:val="000000" w:themeColor="text1"/>
                <w:sz w:val="18"/>
                <w:szCs w:val="18"/>
                <w:lang w:eastAsia="fr-FR"/>
              </w:rPr>
              <w:t>5</w:t>
            </w:r>
          </w:p>
        </w:tc>
      </w:tr>
      <w:tr w:rsidR="009115DB" w:rsidRPr="007A0F7B" w14:paraId="4A5F8DEF" w14:textId="77777777" w:rsidTr="007A0F7B">
        <w:trPr>
          <w:trHeight w:val="274"/>
        </w:trPr>
        <w:tc>
          <w:tcPr>
            <w:tcW w:w="7546" w:type="dxa"/>
            <w:vAlign w:val="center"/>
          </w:tcPr>
          <w:p w14:paraId="6C503854" w14:textId="77777777" w:rsidR="009115DB" w:rsidRPr="007A0F7B" w:rsidRDefault="009115DB" w:rsidP="00AB6E9F">
            <w:pPr>
              <w:spacing w:after="0" w:line="240" w:lineRule="auto"/>
              <w:ind w:left="708" w:right="-2"/>
              <w:jc w:val="both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7A0F7B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Analyse des propositions e</w:t>
            </w:r>
            <w:r w:rsidR="004346C2" w:rsidRPr="007A0F7B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t ajustements conduisant à la sé</w:t>
            </w:r>
            <w:r w:rsidRPr="007A0F7B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 xml:space="preserve">lection fournisseur - </w:t>
            </w:r>
            <w:proofErr w:type="spellStart"/>
            <w:r w:rsidRPr="007A0F7B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Shortlist</w:t>
            </w:r>
            <w:proofErr w:type="spellEnd"/>
          </w:p>
        </w:tc>
        <w:tc>
          <w:tcPr>
            <w:tcW w:w="2902" w:type="dxa"/>
          </w:tcPr>
          <w:p w14:paraId="5C8DE38D" w14:textId="6D1FA4D2" w:rsidR="009115DB" w:rsidRPr="007A0F7B" w:rsidRDefault="00376B34" w:rsidP="00410C97">
            <w:pPr>
              <w:spacing w:after="0" w:line="240" w:lineRule="auto"/>
              <w:ind w:right="-2"/>
              <w:jc w:val="center"/>
              <w:rPr>
                <w:rFonts w:ascii="Calibri" w:eastAsia="Times New Roman" w:hAnsi="Calibri" w:cs="Arial"/>
                <w:b/>
                <w:color w:val="000000" w:themeColor="text1"/>
                <w:sz w:val="18"/>
                <w:szCs w:val="18"/>
                <w:lang w:eastAsia="fr-FR"/>
              </w:rPr>
            </w:pPr>
            <w:r w:rsidRPr="007A0F7B">
              <w:rPr>
                <w:rFonts w:ascii="Calibri" w:eastAsia="Times New Roman" w:hAnsi="Calibri" w:cs="Arial"/>
                <w:b/>
                <w:bCs/>
                <w:color w:val="000000" w:themeColor="text1"/>
                <w:sz w:val="18"/>
                <w:szCs w:val="18"/>
                <w:lang w:eastAsia="fr-FR"/>
              </w:rPr>
              <w:t>12/03/201</w:t>
            </w:r>
            <w:r w:rsidR="00AF202F">
              <w:rPr>
                <w:rFonts w:ascii="Calibri" w:eastAsia="Times New Roman" w:hAnsi="Calibri" w:cs="Arial"/>
                <w:b/>
                <w:bCs/>
                <w:color w:val="000000" w:themeColor="text1"/>
                <w:sz w:val="18"/>
                <w:szCs w:val="18"/>
                <w:lang w:eastAsia="fr-FR"/>
              </w:rPr>
              <w:t>5</w:t>
            </w:r>
          </w:p>
        </w:tc>
      </w:tr>
      <w:tr w:rsidR="009115DB" w:rsidRPr="007A0F7B" w14:paraId="693B8157" w14:textId="77777777" w:rsidTr="007A0F7B">
        <w:trPr>
          <w:trHeight w:val="274"/>
        </w:trPr>
        <w:tc>
          <w:tcPr>
            <w:tcW w:w="7546" w:type="dxa"/>
            <w:vAlign w:val="center"/>
          </w:tcPr>
          <w:p w14:paraId="4ED4F160" w14:textId="77777777" w:rsidR="009115DB" w:rsidRPr="007A0F7B" w:rsidRDefault="009115DB" w:rsidP="00AB6E9F">
            <w:pPr>
              <w:spacing w:after="0" w:line="240" w:lineRule="auto"/>
              <w:ind w:right="-2"/>
              <w:jc w:val="both"/>
              <w:rPr>
                <w:rFonts w:ascii="Calibri" w:eastAsia="Times New Roman" w:hAnsi="Calibri" w:cs="Arial"/>
                <w:b/>
                <w:sz w:val="18"/>
                <w:szCs w:val="18"/>
                <w:lang w:eastAsia="fr-FR"/>
              </w:rPr>
            </w:pPr>
            <w:r w:rsidRPr="007A0F7B">
              <w:rPr>
                <w:rFonts w:ascii="Calibri" w:eastAsia="Times New Roman" w:hAnsi="Calibri" w:cs="Arial"/>
                <w:b/>
                <w:sz w:val="18"/>
                <w:szCs w:val="18"/>
                <w:lang w:eastAsia="fr-FR"/>
              </w:rPr>
              <w:t>Négociation et contractualisation</w:t>
            </w:r>
          </w:p>
        </w:tc>
        <w:tc>
          <w:tcPr>
            <w:tcW w:w="2902" w:type="dxa"/>
          </w:tcPr>
          <w:p w14:paraId="5A3CCAC3" w14:textId="08F13401" w:rsidR="009115DB" w:rsidRPr="007A0F7B" w:rsidRDefault="00AF202F" w:rsidP="00410C97">
            <w:pPr>
              <w:spacing w:after="0" w:line="240" w:lineRule="auto"/>
              <w:ind w:right="-2"/>
              <w:jc w:val="center"/>
              <w:rPr>
                <w:rFonts w:ascii="Calibri" w:eastAsia="Times New Roman" w:hAnsi="Calibri" w:cs="Arial"/>
                <w:b/>
                <w:bCs/>
                <w:color w:val="000000" w:themeColor="text1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 w:themeColor="text1"/>
                <w:sz w:val="18"/>
                <w:szCs w:val="18"/>
                <w:lang w:eastAsia="fr-FR"/>
              </w:rPr>
              <w:t>Du 13/03/2015</w:t>
            </w:r>
            <w:r w:rsidR="00FD7C49" w:rsidRPr="007A0F7B">
              <w:rPr>
                <w:rFonts w:ascii="Calibri" w:eastAsia="Times New Roman" w:hAnsi="Calibri" w:cs="Arial"/>
                <w:b/>
                <w:bCs/>
                <w:color w:val="000000" w:themeColor="text1"/>
                <w:sz w:val="18"/>
                <w:szCs w:val="18"/>
                <w:lang w:eastAsia="fr-FR"/>
              </w:rPr>
              <w:t xml:space="preserve"> au 25</w:t>
            </w:r>
            <w:r w:rsidR="00376B34" w:rsidRPr="007A0F7B">
              <w:rPr>
                <w:rFonts w:ascii="Calibri" w:eastAsia="Times New Roman" w:hAnsi="Calibri" w:cs="Arial"/>
                <w:b/>
                <w:bCs/>
                <w:color w:val="000000" w:themeColor="text1"/>
                <w:sz w:val="18"/>
                <w:szCs w:val="18"/>
                <w:lang w:eastAsia="fr-FR"/>
              </w:rPr>
              <w:t>/03/201</w:t>
            </w:r>
            <w:r>
              <w:rPr>
                <w:rFonts w:ascii="Calibri" w:eastAsia="Times New Roman" w:hAnsi="Calibri" w:cs="Arial"/>
                <w:b/>
                <w:bCs/>
                <w:color w:val="000000" w:themeColor="text1"/>
                <w:sz w:val="18"/>
                <w:szCs w:val="18"/>
                <w:lang w:eastAsia="fr-FR"/>
              </w:rPr>
              <w:t>5</w:t>
            </w:r>
          </w:p>
        </w:tc>
      </w:tr>
      <w:tr w:rsidR="009115DB" w:rsidRPr="007A0F7B" w14:paraId="58496544" w14:textId="77777777" w:rsidTr="007A0F7B">
        <w:trPr>
          <w:trHeight w:val="274"/>
        </w:trPr>
        <w:tc>
          <w:tcPr>
            <w:tcW w:w="7546" w:type="dxa"/>
            <w:vAlign w:val="center"/>
          </w:tcPr>
          <w:p w14:paraId="2ADDD307" w14:textId="77777777" w:rsidR="009115DB" w:rsidRPr="007A0F7B" w:rsidRDefault="00376B34" w:rsidP="00AB6E9F">
            <w:pPr>
              <w:spacing w:after="0" w:line="240" w:lineRule="auto"/>
              <w:ind w:left="708" w:right="-2"/>
              <w:jc w:val="both"/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</w:pPr>
            <w:r w:rsidRPr="007A0F7B">
              <w:rPr>
                <w:rFonts w:ascii="Calibri" w:eastAsia="Times New Roman" w:hAnsi="Calibri" w:cs="Arial"/>
                <w:sz w:val="18"/>
                <w:szCs w:val="18"/>
                <w:lang w:eastAsia="fr-FR"/>
              </w:rPr>
              <w:t>Attribution du marché</w:t>
            </w:r>
          </w:p>
        </w:tc>
        <w:tc>
          <w:tcPr>
            <w:tcW w:w="2902" w:type="dxa"/>
          </w:tcPr>
          <w:p w14:paraId="1AF58704" w14:textId="68CD2204" w:rsidR="009115DB" w:rsidRPr="007A0F7B" w:rsidRDefault="00376B34" w:rsidP="00410C97">
            <w:pPr>
              <w:spacing w:after="0" w:line="240" w:lineRule="auto"/>
              <w:ind w:right="-2"/>
              <w:jc w:val="center"/>
              <w:rPr>
                <w:rFonts w:ascii="Calibri" w:eastAsia="Times New Roman" w:hAnsi="Calibri" w:cs="Arial"/>
                <w:b/>
                <w:color w:val="000000" w:themeColor="text1"/>
                <w:sz w:val="18"/>
                <w:szCs w:val="18"/>
                <w:lang w:eastAsia="fr-FR"/>
              </w:rPr>
            </w:pPr>
            <w:r w:rsidRPr="007A0F7B">
              <w:rPr>
                <w:rFonts w:ascii="Calibri" w:eastAsia="Times New Roman" w:hAnsi="Calibri" w:cs="Arial"/>
                <w:b/>
                <w:bCs/>
                <w:color w:val="000000" w:themeColor="text1"/>
                <w:sz w:val="18"/>
                <w:szCs w:val="18"/>
                <w:lang w:eastAsia="fr-FR"/>
              </w:rPr>
              <w:t>28/03/201</w:t>
            </w:r>
            <w:r w:rsidR="00AF202F">
              <w:rPr>
                <w:rFonts w:ascii="Calibri" w:eastAsia="Times New Roman" w:hAnsi="Calibri" w:cs="Arial"/>
                <w:b/>
                <w:bCs/>
                <w:color w:val="000000" w:themeColor="text1"/>
                <w:sz w:val="18"/>
                <w:szCs w:val="18"/>
                <w:lang w:eastAsia="fr-FR"/>
              </w:rPr>
              <w:t>5</w:t>
            </w:r>
          </w:p>
        </w:tc>
      </w:tr>
    </w:tbl>
    <w:p w14:paraId="6FDBDFE1" w14:textId="77777777" w:rsidR="007A0F7B" w:rsidRDefault="007A0F7B" w:rsidP="00AB6E9F">
      <w:pPr>
        <w:spacing w:after="0" w:line="240" w:lineRule="auto"/>
        <w:jc w:val="both"/>
        <w:rPr>
          <w:sz w:val="18"/>
          <w:szCs w:val="18"/>
        </w:rPr>
      </w:pPr>
    </w:p>
    <w:p w14:paraId="12BEC01E" w14:textId="3E63154B" w:rsidR="00D442DA" w:rsidRPr="007A0F7B" w:rsidRDefault="00D442DA" w:rsidP="00AB6E9F">
      <w:pPr>
        <w:spacing w:after="0" w:line="240" w:lineRule="auto"/>
        <w:jc w:val="both"/>
        <w:rPr>
          <w:sz w:val="18"/>
          <w:szCs w:val="18"/>
        </w:rPr>
      </w:pPr>
      <w:r w:rsidRPr="007A0F7B">
        <w:rPr>
          <w:sz w:val="18"/>
          <w:szCs w:val="18"/>
        </w:rPr>
        <w:t xml:space="preserve">Le groupe </w:t>
      </w:r>
      <w:r w:rsidR="00AF202F">
        <w:rPr>
          <w:sz w:val="18"/>
          <w:szCs w:val="18"/>
        </w:rPr>
        <w:t>XXXX</w:t>
      </w:r>
      <w:r w:rsidRPr="007A0F7B">
        <w:rPr>
          <w:sz w:val="18"/>
          <w:szCs w:val="18"/>
        </w:rPr>
        <w:t xml:space="preserve"> se réserve le droit d’interrompre le processus de l’appel d’offres à tout moment si les fournisseurs ne respectent pas leurs engagements. </w:t>
      </w:r>
    </w:p>
    <w:p w14:paraId="3ADCED48" w14:textId="77777777" w:rsidR="00D442DA" w:rsidRPr="007A0F7B" w:rsidRDefault="00D442DA" w:rsidP="00AB6E9F">
      <w:pPr>
        <w:spacing w:after="0" w:line="240" w:lineRule="auto"/>
        <w:jc w:val="both"/>
        <w:rPr>
          <w:sz w:val="18"/>
          <w:szCs w:val="18"/>
        </w:rPr>
      </w:pPr>
    </w:p>
    <w:p w14:paraId="4887A757" w14:textId="77777777" w:rsidR="00D442DA" w:rsidRPr="007A0F7B" w:rsidRDefault="00D442DA" w:rsidP="00AB6E9F">
      <w:pPr>
        <w:spacing w:after="0" w:line="240" w:lineRule="auto"/>
        <w:jc w:val="both"/>
        <w:rPr>
          <w:b/>
          <w:sz w:val="18"/>
          <w:szCs w:val="18"/>
        </w:rPr>
      </w:pPr>
      <w:r w:rsidRPr="007A0F7B">
        <w:rPr>
          <w:b/>
          <w:sz w:val="18"/>
          <w:szCs w:val="18"/>
        </w:rPr>
        <w:t>CONFIDENTIALITE</w:t>
      </w:r>
    </w:p>
    <w:p w14:paraId="172B99B0" w14:textId="515D9EA7" w:rsidR="00D442DA" w:rsidRPr="007A0F7B" w:rsidRDefault="00D442DA" w:rsidP="00AB6E9F">
      <w:pPr>
        <w:spacing w:after="0" w:line="240" w:lineRule="auto"/>
        <w:jc w:val="both"/>
        <w:rPr>
          <w:sz w:val="18"/>
          <w:szCs w:val="18"/>
        </w:rPr>
      </w:pPr>
      <w:r w:rsidRPr="007A0F7B">
        <w:rPr>
          <w:sz w:val="18"/>
          <w:szCs w:val="18"/>
        </w:rPr>
        <w:t xml:space="preserve">Aucune information propre au fournisseur ne sera divulguée aux autres candidats. </w:t>
      </w:r>
      <w:r w:rsidR="002C1085" w:rsidRPr="007A0F7B">
        <w:rPr>
          <w:sz w:val="18"/>
          <w:szCs w:val="18"/>
        </w:rPr>
        <w:t xml:space="preserve">Toute information relative au groupe </w:t>
      </w:r>
      <w:r w:rsidR="00AF202F">
        <w:rPr>
          <w:sz w:val="18"/>
          <w:szCs w:val="18"/>
        </w:rPr>
        <w:t>XXXX</w:t>
      </w:r>
      <w:r w:rsidR="002C1085" w:rsidRPr="007A0F7B">
        <w:rPr>
          <w:sz w:val="18"/>
          <w:szCs w:val="18"/>
        </w:rPr>
        <w:t xml:space="preserve"> obtenue par le fournisseur dans le cadre de cet appel d’offres </w:t>
      </w:r>
      <w:r w:rsidR="00AF202F">
        <w:rPr>
          <w:sz w:val="18"/>
          <w:szCs w:val="18"/>
        </w:rPr>
        <w:t>XXXX</w:t>
      </w:r>
      <w:r w:rsidR="002C1085" w:rsidRPr="007A0F7B">
        <w:rPr>
          <w:sz w:val="18"/>
          <w:szCs w:val="18"/>
        </w:rPr>
        <w:t xml:space="preserve"> est confidentielle et ne peut être divulguée ou utilisée par le fournisseur, hormis celles autorisées par le groupe </w:t>
      </w:r>
      <w:r w:rsidR="00AF202F">
        <w:rPr>
          <w:sz w:val="18"/>
          <w:szCs w:val="18"/>
        </w:rPr>
        <w:t>XXXX</w:t>
      </w:r>
      <w:r w:rsidR="002C1085" w:rsidRPr="007A0F7B">
        <w:rPr>
          <w:sz w:val="18"/>
          <w:szCs w:val="18"/>
        </w:rPr>
        <w:t xml:space="preserve">. Si le fournisseur désire communiquer ou utiliser une information relative au groupe à une tierce partie dans le cadre de sa réponse au présent appel d’offres, le fournisseur doit d’abord obtenir une autorisation écrite du groupe </w:t>
      </w:r>
      <w:r w:rsidR="00AF202F">
        <w:rPr>
          <w:sz w:val="18"/>
          <w:szCs w:val="18"/>
        </w:rPr>
        <w:t>XXXX</w:t>
      </w:r>
      <w:r w:rsidR="002C1085" w:rsidRPr="007A0F7B">
        <w:rPr>
          <w:sz w:val="18"/>
          <w:szCs w:val="18"/>
        </w:rPr>
        <w:t xml:space="preserve">. </w:t>
      </w:r>
    </w:p>
    <w:p w14:paraId="7EB3A9AF" w14:textId="77777777" w:rsidR="002C1085" w:rsidRPr="007A0F7B" w:rsidRDefault="002C1085" w:rsidP="00AB6E9F">
      <w:pPr>
        <w:spacing w:after="0" w:line="240" w:lineRule="auto"/>
        <w:jc w:val="both"/>
        <w:rPr>
          <w:sz w:val="18"/>
          <w:szCs w:val="18"/>
        </w:rPr>
      </w:pPr>
    </w:p>
    <w:p w14:paraId="4D8199FB" w14:textId="77777777" w:rsidR="002C1085" w:rsidRPr="007A0F7B" w:rsidRDefault="002C1085" w:rsidP="00AB6E9F">
      <w:pPr>
        <w:spacing w:after="0" w:line="240" w:lineRule="auto"/>
        <w:jc w:val="both"/>
        <w:rPr>
          <w:b/>
          <w:sz w:val="18"/>
          <w:szCs w:val="18"/>
        </w:rPr>
      </w:pPr>
      <w:r w:rsidRPr="007A0F7B">
        <w:rPr>
          <w:b/>
          <w:sz w:val="18"/>
          <w:szCs w:val="18"/>
        </w:rPr>
        <w:t>MODALITES</w:t>
      </w:r>
      <w:r w:rsidR="00FC5475" w:rsidRPr="007A0F7B">
        <w:rPr>
          <w:b/>
          <w:sz w:val="18"/>
          <w:szCs w:val="18"/>
        </w:rPr>
        <w:t xml:space="preserve"> DE L’APPEL D’OFFRES</w:t>
      </w:r>
    </w:p>
    <w:p w14:paraId="7FFD1250" w14:textId="0950DFF0" w:rsidR="002C1085" w:rsidRPr="007A0F7B" w:rsidRDefault="002C1085" w:rsidP="00AB6E9F">
      <w:pPr>
        <w:spacing w:after="0" w:line="240" w:lineRule="auto"/>
        <w:jc w:val="both"/>
        <w:rPr>
          <w:sz w:val="18"/>
          <w:szCs w:val="18"/>
        </w:rPr>
      </w:pPr>
      <w:r w:rsidRPr="007A0F7B">
        <w:rPr>
          <w:sz w:val="18"/>
          <w:szCs w:val="18"/>
        </w:rPr>
        <w:t xml:space="preserve">La diffusion de cette consultation n’engage en rien le groupe </w:t>
      </w:r>
      <w:r w:rsidR="00AF202F">
        <w:rPr>
          <w:sz w:val="18"/>
          <w:szCs w:val="18"/>
        </w:rPr>
        <w:t>XXXX</w:t>
      </w:r>
      <w:r w:rsidRPr="007A0F7B">
        <w:rPr>
          <w:sz w:val="18"/>
          <w:szCs w:val="18"/>
        </w:rPr>
        <w:t xml:space="preserve"> à acheter les matériels concernés. Le groupe </w:t>
      </w:r>
      <w:r w:rsidR="00AF202F">
        <w:rPr>
          <w:sz w:val="18"/>
          <w:szCs w:val="18"/>
        </w:rPr>
        <w:t>XXXX</w:t>
      </w:r>
      <w:r w:rsidRPr="007A0F7B">
        <w:rPr>
          <w:sz w:val="18"/>
          <w:szCs w:val="18"/>
        </w:rPr>
        <w:t xml:space="preserve"> se réserve le droit de rejeter certaines ou toutes les propositions</w:t>
      </w:r>
      <w:r w:rsidR="00FC5475" w:rsidRPr="007A0F7B">
        <w:rPr>
          <w:sz w:val="18"/>
          <w:szCs w:val="18"/>
        </w:rPr>
        <w:t xml:space="preserve">, en tout ou partie, même dans le cas où elles contiendraient toutes les conditions requises. Le groupe </w:t>
      </w:r>
      <w:r w:rsidR="00AF202F">
        <w:rPr>
          <w:sz w:val="18"/>
          <w:szCs w:val="18"/>
        </w:rPr>
        <w:t>XXXX</w:t>
      </w:r>
      <w:r w:rsidR="00FC5475" w:rsidRPr="007A0F7B">
        <w:rPr>
          <w:sz w:val="18"/>
          <w:szCs w:val="18"/>
        </w:rPr>
        <w:t xml:space="preserve"> se réserve en outre le droit d’analyser toutes les propositions en détail, et d’attribuer, dans l’exercice de sa discrétion raisonnable, les contrats aux fournisseurs jugés pour son bon intérêt. Le groupe </w:t>
      </w:r>
      <w:r w:rsidR="00AF202F">
        <w:rPr>
          <w:sz w:val="18"/>
          <w:szCs w:val="18"/>
        </w:rPr>
        <w:t>XXXX</w:t>
      </w:r>
      <w:r w:rsidR="00FC5475" w:rsidRPr="007A0F7B">
        <w:rPr>
          <w:sz w:val="18"/>
          <w:szCs w:val="18"/>
        </w:rPr>
        <w:t xml:space="preserve"> peut entrer en négociation avec plusieurs fournisseurs simultanément. </w:t>
      </w:r>
    </w:p>
    <w:p w14:paraId="2AB488FD" w14:textId="77777777" w:rsidR="00FC5475" w:rsidRPr="007A0F7B" w:rsidRDefault="00FC5475" w:rsidP="00AB6E9F">
      <w:pPr>
        <w:spacing w:after="0" w:line="240" w:lineRule="auto"/>
        <w:jc w:val="both"/>
        <w:rPr>
          <w:sz w:val="18"/>
          <w:szCs w:val="18"/>
        </w:rPr>
      </w:pPr>
    </w:p>
    <w:p w14:paraId="6AF82A8C" w14:textId="77777777" w:rsidR="00FC5475" w:rsidRPr="007A0F7B" w:rsidRDefault="00AD7754" w:rsidP="00AB6E9F">
      <w:pPr>
        <w:spacing w:after="0" w:line="240" w:lineRule="auto"/>
        <w:jc w:val="both"/>
        <w:rPr>
          <w:b/>
          <w:sz w:val="18"/>
          <w:szCs w:val="18"/>
        </w:rPr>
      </w:pPr>
      <w:r w:rsidRPr="007A0F7B">
        <w:rPr>
          <w:b/>
          <w:sz w:val="18"/>
          <w:szCs w:val="18"/>
        </w:rPr>
        <w:t>REPONSES FOURNISSEURS</w:t>
      </w:r>
    </w:p>
    <w:p w14:paraId="4D85387E" w14:textId="77777777" w:rsidR="00AD7754" w:rsidRPr="007A0F7B" w:rsidRDefault="00AD7754" w:rsidP="00AB6E9F">
      <w:pPr>
        <w:spacing w:after="0" w:line="240" w:lineRule="auto"/>
        <w:jc w:val="both"/>
        <w:rPr>
          <w:sz w:val="18"/>
          <w:szCs w:val="18"/>
        </w:rPr>
      </w:pPr>
      <w:r w:rsidRPr="007A0F7B">
        <w:rPr>
          <w:sz w:val="18"/>
          <w:szCs w:val="18"/>
        </w:rPr>
        <w:t xml:space="preserve">Les propositions des fournisseurs devront contenir leurs coordonnées complètes (raison sociale, adresse postale, coordonnées téléphoniques et électroniques). </w:t>
      </w:r>
    </w:p>
    <w:p w14:paraId="0AD50887" w14:textId="77777777" w:rsidR="00AD7754" w:rsidRPr="007A0F7B" w:rsidRDefault="00AD7754" w:rsidP="00AB6E9F">
      <w:pPr>
        <w:spacing w:after="0" w:line="240" w:lineRule="auto"/>
        <w:jc w:val="both"/>
        <w:rPr>
          <w:sz w:val="18"/>
          <w:szCs w:val="18"/>
        </w:rPr>
      </w:pPr>
      <w:r w:rsidRPr="007A0F7B">
        <w:rPr>
          <w:sz w:val="18"/>
          <w:szCs w:val="18"/>
        </w:rPr>
        <w:t xml:space="preserve">Les propositions devront être validées par la signature d’un représentant de l’entreprise accrédité, et devront être datées. </w:t>
      </w:r>
    </w:p>
    <w:p w14:paraId="29B4D2D9" w14:textId="5895A1E0" w:rsidR="00AD7754" w:rsidRPr="007A0F7B" w:rsidRDefault="00AD7754" w:rsidP="00AB6E9F">
      <w:pPr>
        <w:spacing w:after="0" w:line="240" w:lineRule="auto"/>
        <w:jc w:val="both"/>
        <w:rPr>
          <w:sz w:val="18"/>
          <w:szCs w:val="18"/>
        </w:rPr>
      </w:pPr>
      <w:r w:rsidRPr="007A0F7B">
        <w:rPr>
          <w:sz w:val="18"/>
          <w:szCs w:val="18"/>
        </w:rPr>
        <w:t>Une proposition soumise au travers d’un partenaire, un sous-traitant ou une joint-venture devra inclure la liste complète des noms des partenaires, vendeurs ou joint-ventures. Les</w:t>
      </w:r>
      <w:r w:rsidR="007A0F7B">
        <w:rPr>
          <w:sz w:val="18"/>
          <w:szCs w:val="18"/>
        </w:rPr>
        <w:t xml:space="preserve"> noms de chaque signataire devront</w:t>
      </w:r>
      <w:r w:rsidRPr="007A0F7B">
        <w:rPr>
          <w:sz w:val="18"/>
          <w:szCs w:val="18"/>
        </w:rPr>
        <w:t xml:space="preserve"> être dactylographié</w:t>
      </w:r>
      <w:r w:rsidR="007A0F7B">
        <w:rPr>
          <w:sz w:val="18"/>
          <w:szCs w:val="18"/>
        </w:rPr>
        <w:t>s</w:t>
      </w:r>
      <w:r w:rsidRPr="007A0F7B">
        <w:rPr>
          <w:sz w:val="18"/>
          <w:szCs w:val="18"/>
        </w:rPr>
        <w:t xml:space="preserve"> ou clairement écrit</w:t>
      </w:r>
      <w:r w:rsidR="007A0F7B">
        <w:rPr>
          <w:sz w:val="18"/>
          <w:szCs w:val="18"/>
        </w:rPr>
        <w:t>s sous chaque signature.</w:t>
      </w:r>
    </w:p>
    <w:p w14:paraId="1909A454" w14:textId="1D710A91" w:rsidR="00AD7754" w:rsidRPr="007A0F7B" w:rsidRDefault="00AD7754" w:rsidP="00AB6E9F">
      <w:pPr>
        <w:spacing w:after="0" w:line="240" w:lineRule="auto"/>
        <w:jc w:val="both"/>
        <w:rPr>
          <w:sz w:val="18"/>
          <w:szCs w:val="18"/>
        </w:rPr>
      </w:pPr>
      <w:r w:rsidRPr="007A0F7B">
        <w:rPr>
          <w:sz w:val="18"/>
          <w:szCs w:val="18"/>
        </w:rPr>
        <w:t xml:space="preserve">Tout document transmis au groupe </w:t>
      </w:r>
      <w:r w:rsidR="00AF202F">
        <w:rPr>
          <w:sz w:val="18"/>
          <w:szCs w:val="18"/>
        </w:rPr>
        <w:t>XXXX</w:t>
      </w:r>
      <w:r w:rsidRPr="007A0F7B">
        <w:rPr>
          <w:sz w:val="18"/>
          <w:szCs w:val="18"/>
        </w:rPr>
        <w:t xml:space="preserve"> doit être fourni sous format exploitable comme </w:t>
      </w:r>
      <w:proofErr w:type="spellStart"/>
      <w:r w:rsidRPr="007A0F7B">
        <w:rPr>
          <w:sz w:val="18"/>
          <w:szCs w:val="18"/>
        </w:rPr>
        <w:t>ppt</w:t>
      </w:r>
      <w:proofErr w:type="spellEnd"/>
      <w:r w:rsidRPr="007A0F7B">
        <w:rPr>
          <w:sz w:val="18"/>
          <w:szCs w:val="18"/>
        </w:rPr>
        <w:t xml:space="preserve">, doc, </w:t>
      </w:r>
      <w:proofErr w:type="spellStart"/>
      <w:r w:rsidRPr="007A0F7B">
        <w:rPr>
          <w:sz w:val="18"/>
          <w:szCs w:val="18"/>
        </w:rPr>
        <w:t>xls</w:t>
      </w:r>
      <w:proofErr w:type="spellEnd"/>
      <w:r w:rsidRPr="007A0F7B">
        <w:rPr>
          <w:sz w:val="18"/>
          <w:szCs w:val="18"/>
        </w:rPr>
        <w:t xml:space="preserve">,… (Aucun PDF ne sera accepté hormis les documents scannés). </w:t>
      </w:r>
    </w:p>
    <w:p w14:paraId="21F1E7A9" w14:textId="77777777" w:rsidR="00AD7754" w:rsidRPr="007A0F7B" w:rsidRDefault="00AD7754" w:rsidP="00AB6E9F">
      <w:pPr>
        <w:spacing w:after="0" w:line="240" w:lineRule="auto"/>
        <w:jc w:val="both"/>
        <w:rPr>
          <w:sz w:val="18"/>
          <w:szCs w:val="18"/>
        </w:rPr>
      </w:pPr>
    </w:p>
    <w:p w14:paraId="5850FA43" w14:textId="77777777" w:rsidR="00AD7754" w:rsidRPr="007A0F7B" w:rsidRDefault="00AD7754" w:rsidP="00AB6E9F">
      <w:pPr>
        <w:spacing w:after="0" w:line="240" w:lineRule="auto"/>
        <w:jc w:val="both"/>
        <w:rPr>
          <w:b/>
          <w:sz w:val="18"/>
          <w:szCs w:val="18"/>
        </w:rPr>
      </w:pPr>
      <w:r w:rsidRPr="007A0F7B">
        <w:rPr>
          <w:b/>
          <w:sz w:val="18"/>
          <w:szCs w:val="18"/>
        </w:rPr>
        <w:t>IMPLEMENTATION DU CONTRAT</w:t>
      </w:r>
      <w:r w:rsidRPr="007A0F7B">
        <w:rPr>
          <w:b/>
          <w:sz w:val="18"/>
          <w:szCs w:val="18"/>
        </w:rPr>
        <w:tab/>
      </w:r>
    </w:p>
    <w:p w14:paraId="359DBB33" w14:textId="1DF6D838" w:rsidR="00AD7754" w:rsidRPr="007A0F7B" w:rsidRDefault="00AD7754" w:rsidP="00AB6E9F">
      <w:pPr>
        <w:spacing w:after="0" w:line="240" w:lineRule="auto"/>
        <w:jc w:val="both"/>
        <w:rPr>
          <w:sz w:val="18"/>
          <w:szCs w:val="18"/>
        </w:rPr>
      </w:pPr>
      <w:r w:rsidRPr="007A0F7B">
        <w:rPr>
          <w:sz w:val="18"/>
          <w:szCs w:val="18"/>
        </w:rPr>
        <w:t xml:space="preserve">Toute proposition, information ou réponse soumise par un fournisseur sera incorporée dans le contrat final entre le groupe </w:t>
      </w:r>
      <w:r w:rsidR="00AF202F">
        <w:rPr>
          <w:sz w:val="18"/>
          <w:szCs w:val="18"/>
        </w:rPr>
        <w:t>XXXX</w:t>
      </w:r>
      <w:r w:rsidRPr="007A0F7B">
        <w:rPr>
          <w:sz w:val="18"/>
          <w:szCs w:val="18"/>
        </w:rPr>
        <w:t xml:space="preserve"> et le fournisseur concerné. </w:t>
      </w:r>
      <w:r w:rsidR="00AB6E9F" w:rsidRPr="007A0F7B">
        <w:rPr>
          <w:sz w:val="18"/>
          <w:szCs w:val="18"/>
        </w:rPr>
        <w:t xml:space="preserve">Aucune information qui ne pourrait être intégrée au contrat final ne devra être soumise. </w:t>
      </w:r>
    </w:p>
    <w:p w14:paraId="7F236BB7" w14:textId="77777777" w:rsidR="00AB6E9F" w:rsidRPr="007A0F7B" w:rsidRDefault="00AB6E9F" w:rsidP="00AB6E9F">
      <w:pPr>
        <w:spacing w:after="0" w:line="240" w:lineRule="auto"/>
        <w:jc w:val="both"/>
        <w:rPr>
          <w:b/>
          <w:sz w:val="18"/>
          <w:szCs w:val="18"/>
        </w:rPr>
      </w:pPr>
    </w:p>
    <w:p w14:paraId="0CE843AB" w14:textId="775CDFC0" w:rsidR="00AB6E9F" w:rsidRPr="007A0F7B" w:rsidRDefault="00AB6E9F" w:rsidP="00AB6E9F">
      <w:pPr>
        <w:spacing w:after="0" w:line="240" w:lineRule="auto"/>
        <w:jc w:val="both"/>
        <w:rPr>
          <w:b/>
          <w:sz w:val="18"/>
          <w:szCs w:val="18"/>
        </w:rPr>
      </w:pPr>
      <w:r w:rsidRPr="007A0F7B">
        <w:rPr>
          <w:b/>
          <w:sz w:val="18"/>
          <w:szCs w:val="18"/>
        </w:rPr>
        <w:t xml:space="preserve">UTILISATION DU NOM </w:t>
      </w:r>
      <w:r w:rsidR="00AF202F">
        <w:rPr>
          <w:b/>
          <w:sz w:val="18"/>
          <w:szCs w:val="18"/>
        </w:rPr>
        <w:t>XXXX</w:t>
      </w:r>
      <w:bookmarkStart w:id="0" w:name="_GoBack"/>
      <w:bookmarkEnd w:id="0"/>
    </w:p>
    <w:p w14:paraId="4578B815" w14:textId="7CA880DB" w:rsidR="00AB6E9F" w:rsidRPr="007A0F7B" w:rsidRDefault="00AB6E9F" w:rsidP="00AB6E9F">
      <w:pPr>
        <w:spacing w:after="0" w:line="240" w:lineRule="auto"/>
        <w:jc w:val="both"/>
        <w:rPr>
          <w:sz w:val="18"/>
          <w:szCs w:val="18"/>
        </w:rPr>
      </w:pPr>
      <w:r w:rsidRPr="007A0F7B">
        <w:rPr>
          <w:sz w:val="18"/>
          <w:szCs w:val="18"/>
        </w:rPr>
        <w:t xml:space="preserve">Le fournisseur ne devra en aucun cas utiliser le nom de </w:t>
      </w:r>
      <w:r w:rsidR="00AF202F">
        <w:rPr>
          <w:sz w:val="18"/>
          <w:szCs w:val="18"/>
        </w:rPr>
        <w:t>XXXX</w:t>
      </w:r>
      <w:r w:rsidRPr="007A0F7B">
        <w:rPr>
          <w:sz w:val="18"/>
          <w:szCs w:val="18"/>
        </w:rPr>
        <w:t xml:space="preserve"> ou y faire référence dans ses publications et autres campagnes promotionnelles ou messages sans un accord écrit au préalable du groupe </w:t>
      </w:r>
      <w:r w:rsidR="00AF202F">
        <w:rPr>
          <w:sz w:val="18"/>
          <w:szCs w:val="18"/>
        </w:rPr>
        <w:t>XXXX</w:t>
      </w:r>
      <w:r w:rsidRPr="007A0F7B">
        <w:rPr>
          <w:sz w:val="18"/>
          <w:szCs w:val="18"/>
        </w:rPr>
        <w:t xml:space="preserve">. </w:t>
      </w:r>
    </w:p>
    <w:p w14:paraId="433AE9FA" w14:textId="77777777" w:rsidR="00AB6E9F" w:rsidRPr="007A0F7B" w:rsidRDefault="00AB6E9F" w:rsidP="00AB6E9F">
      <w:pPr>
        <w:spacing w:after="0" w:line="240" w:lineRule="auto"/>
        <w:jc w:val="both"/>
        <w:rPr>
          <w:sz w:val="18"/>
          <w:szCs w:val="18"/>
        </w:rPr>
      </w:pPr>
    </w:p>
    <w:p w14:paraId="462EE852" w14:textId="77777777" w:rsidR="00AB6E9F" w:rsidRPr="007A0F7B" w:rsidRDefault="00376B34" w:rsidP="00AB6E9F">
      <w:pPr>
        <w:spacing w:after="0" w:line="240" w:lineRule="auto"/>
        <w:jc w:val="both"/>
        <w:rPr>
          <w:b/>
          <w:sz w:val="18"/>
          <w:szCs w:val="18"/>
        </w:rPr>
      </w:pPr>
      <w:r w:rsidRPr="007A0F7B">
        <w:rPr>
          <w:b/>
          <w:sz w:val="18"/>
          <w:szCs w:val="18"/>
        </w:rPr>
        <w:t>VALID</w:t>
      </w:r>
      <w:r w:rsidR="00AB6E9F" w:rsidRPr="007A0F7B">
        <w:rPr>
          <w:b/>
          <w:sz w:val="18"/>
          <w:szCs w:val="18"/>
        </w:rPr>
        <w:t>ITE DES OFFRES</w:t>
      </w:r>
    </w:p>
    <w:p w14:paraId="05329308" w14:textId="3B1373E2" w:rsidR="00AB6E9F" w:rsidRPr="007A0F7B" w:rsidRDefault="00AB6E9F">
      <w:pPr>
        <w:spacing w:after="0" w:line="240" w:lineRule="auto"/>
        <w:jc w:val="both"/>
        <w:rPr>
          <w:sz w:val="18"/>
          <w:szCs w:val="18"/>
        </w:rPr>
      </w:pPr>
      <w:r w:rsidRPr="007A0F7B">
        <w:rPr>
          <w:sz w:val="18"/>
          <w:szCs w:val="18"/>
        </w:rPr>
        <w:t xml:space="preserve">Toute proposition transmise dans le cadre de l’appel d’offres </w:t>
      </w:r>
      <w:r w:rsidR="00AF202F">
        <w:rPr>
          <w:sz w:val="18"/>
          <w:szCs w:val="18"/>
        </w:rPr>
        <w:t>XXXX</w:t>
      </w:r>
      <w:r w:rsidRPr="007A0F7B">
        <w:rPr>
          <w:sz w:val="18"/>
          <w:szCs w:val="18"/>
        </w:rPr>
        <w:t xml:space="preserve"> constitue une offre ferme et valide, et devra rester ouverte et irré</w:t>
      </w:r>
      <w:r w:rsidR="007A0F7B">
        <w:rPr>
          <w:sz w:val="18"/>
          <w:szCs w:val="18"/>
        </w:rPr>
        <w:t>vocable pour une durée de douze (12</w:t>
      </w:r>
      <w:r w:rsidRPr="007A0F7B">
        <w:rPr>
          <w:sz w:val="18"/>
          <w:szCs w:val="18"/>
        </w:rPr>
        <w:t xml:space="preserve">) mois à compter de la date de transmission au groupe </w:t>
      </w:r>
      <w:r w:rsidR="00AF202F">
        <w:rPr>
          <w:sz w:val="18"/>
          <w:szCs w:val="18"/>
        </w:rPr>
        <w:t>XXXX</w:t>
      </w:r>
      <w:r w:rsidRPr="007A0F7B">
        <w:rPr>
          <w:sz w:val="18"/>
          <w:szCs w:val="18"/>
        </w:rPr>
        <w:t xml:space="preserve">. </w:t>
      </w:r>
    </w:p>
    <w:sectPr w:rsidR="00AB6E9F" w:rsidRPr="007A0F7B" w:rsidSect="007A0F7B">
      <w:footerReference w:type="default" r:id="rId7"/>
      <w:pgSz w:w="11906" w:h="16838"/>
      <w:pgMar w:top="1134" w:right="707" w:bottom="1417" w:left="709" w:header="70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26E5F" w14:textId="77777777" w:rsidR="007A0F7B" w:rsidRDefault="007A0F7B" w:rsidP="00410C97">
      <w:pPr>
        <w:spacing w:after="0" w:line="240" w:lineRule="auto"/>
      </w:pPr>
      <w:r>
        <w:separator/>
      </w:r>
    </w:p>
  </w:endnote>
  <w:endnote w:type="continuationSeparator" w:id="0">
    <w:p w14:paraId="529F916C" w14:textId="77777777" w:rsidR="007A0F7B" w:rsidRDefault="007A0F7B" w:rsidP="00410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72DFD" w14:textId="5855DBBD" w:rsidR="007A0F7B" w:rsidRDefault="007A0F7B" w:rsidP="00410C9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239DE" w14:textId="77777777" w:rsidR="007A0F7B" w:rsidRDefault="007A0F7B" w:rsidP="00410C97">
      <w:pPr>
        <w:spacing w:after="0" w:line="240" w:lineRule="auto"/>
      </w:pPr>
      <w:r>
        <w:separator/>
      </w:r>
    </w:p>
  </w:footnote>
  <w:footnote w:type="continuationSeparator" w:id="0">
    <w:p w14:paraId="18FC6E23" w14:textId="77777777" w:rsidR="007A0F7B" w:rsidRDefault="007A0F7B" w:rsidP="00410C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5DB"/>
    <w:rsid w:val="000C2BC1"/>
    <w:rsid w:val="00106D46"/>
    <w:rsid w:val="0020234F"/>
    <w:rsid w:val="00282D5C"/>
    <w:rsid w:val="002C1085"/>
    <w:rsid w:val="002D2F9B"/>
    <w:rsid w:val="00376B34"/>
    <w:rsid w:val="00410C97"/>
    <w:rsid w:val="004346C2"/>
    <w:rsid w:val="00595A04"/>
    <w:rsid w:val="00603EB8"/>
    <w:rsid w:val="00627DB2"/>
    <w:rsid w:val="0068607D"/>
    <w:rsid w:val="006F08E5"/>
    <w:rsid w:val="007875CF"/>
    <w:rsid w:val="007A0F7B"/>
    <w:rsid w:val="007C4671"/>
    <w:rsid w:val="009115DB"/>
    <w:rsid w:val="00940833"/>
    <w:rsid w:val="00967576"/>
    <w:rsid w:val="00A04B6D"/>
    <w:rsid w:val="00AB6E9F"/>
    <w:rsid w:val="00AD7754"/>
    <w:rsid w:val="00AF202F"/>
    <w:rsid w:val="00C87D2B"/>
    <w:rsid w:val="00D442DA"/>
    <w:rsid w:val="00E97BB3"/>
    <w:rsid w:val="00F82F09"/>
    <w:rsid w:val="00FC5475"/>
    <w:rsid w:val="00FD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FE9A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C97"/>
  </w:style>
  <w:style w:type="paragraph" w:styleId="Footer">
    <w:name w:val="footer"/>
    <w:basedOn w:val="Normal"/>
    <w:link w:val="FooterChar"/>
    <w:uiPriority w:val="99"/>
    <w:unhideWhenUsed/>
    <w:rsid w:val="00410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C97"/>
  </w:style>
  <w:style w:type="paragraph" w:styleId="BalloonText">
    <w:name w:val="Balloon Text"/>
    <w:basedOn w:val="Normal"/>
    <w:link w:val="BalloonTextChar"/>
    <w:uiPriority w:val="99"/>
    <w:semiHidden/>
    <w:unhideWhenUsed/>
    <w:rsid w:val="004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C97"/>
  </w:style>
  <w:style w:type="paragraph" w:styleId="Footer">
    <w:name w:val="footer"/>
    <w:basedOn w:val="Normal"/>
    <w:link w:val="FooterChar"/>
    <w:uiPriority w:val="99"/>
    <w:unhideWhenUsed/>
    <w:rsid w:val="00410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C97"/>
  </w:style>
  <w:style w:type="paragraph" w:styleId="BalloonText">
    <w:name w:val="Balloon Text"/>
    <w:basedOn w:val="Normal"/>
    <w:link w:val="BalloonTextChar"/>
    <w:uiPriority w:val="99"/>
    <w:semiHidden/>
    <w:unhideWhenUsed/>
    <w:rsid w:val="004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594</Words>
  <Characters>3485</Characters>
  <Application>Microsoft Macintosh Word</Application>
  <DocSecurity>0</DocSecurity>
  <Lines>65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DG</Manager>
  <Company>Buy Made Easy Consulting</Company>
  <LinksUpToDate>false</LinksUpToDate>
  <CharactersWithSpaces>4043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Réglement de la consultation</dc:title>
  <dc:subject/>
  <dc:creator>Olivier AUDINO</dc:creator>
  <cp:keywords/>
  <dc:description/>
  <cp:lastModifiedBy>Olivier Audino</cp:lastModifiedBy>
  <cp:revision>3</cp:revision>
  <dcterms:created xsi:type="dcterms:W3CDTF">2014-02-12T13:43:00Z</dcterms:created>
  <dcterms:modified xsi:type="dcterms:W3CDTF">2014-03-17T21:11:00Z</dcterms:modified>
  <cp:category/>
</cp:coreProperties>
</file>